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4A0" w:firstRow="1" w:lastRow="0" w:firstColumn="1" w:lastColumn="0" w:noHBand="0" w:noVBand="1"/>
      </w:tblPr>
      <w:tblGrid>
        <w:gridCol w:w="3514"/>
        <w:gridCol w:w="5842"/>
      </w:tblGrid>
      <w:tr w:rsidR="008640F6" w:rsidRPr="008640F6" w:rsidTr="00BF555D">
        <w:trPr>
          <w:trHeight w:val="897"/>
        </w:trPr>
        <w:tc>
          <w:tcPr>
            <w:tcW w:w="3514" w:type="dxa"/>
            <w:shd w:val="clear" w:color="auto" w:fill="auto"/>
          </w:tcPr>
          <w:p w:rsidR="001E28C0" w:rsidRPr="001E1296" w:rsidRDefault="001E1296" w:rsidP="002E619F">
            <w:pPr>
              <w:spacing w:before="40" w:after="40" w:line="240" w:lineRule="auto"/>
              <w:jc w:val="center"/>
              <w:rPr>
                <w:rFonts w:cs="Times New Roman"/>
                <w:b/>
                <w:sz w:val="26"/>
              </w:rPr>
            </w:pPr>
            <w:r w:rsidRPr="001E1296">
              <w:rPr>
                <w:rFonts w:cs="Times New Roman"/>
                <w:b/>
                <w:sz w:val="26"/>
              </w:rPr>
              <w:t>ỦY BAN NHÂN DÂN</w:t>
            </w:r>
          </w:p>
          <w:p w:rsidR="001E1296" w:rsidRPr="001E1296" w:rsidRDefault="001E1296" w:rsidP="002E619F">
            <w:pPr>
              <w:spacing w:before="40" w:after="40" w:line="240" w:lineRule="auto"/>
              <w:jc w:val="center"/>
              <w:rPr>
                <w:rFonts w:cs="Times New Roman"/>
                <w:b/>
                <w:sz w:val="26"/>
              </w:rPr>
            </w:pPr>
            <w:r w:rsidRPr="001E1296">
              <w:rPr>
                <w:rFonts w:cs="Times New Roman"/>
                <w:b/>
                <w:sz w:val="26"/>
              </w:rPr>
              <w:t>XÃ KỲ HẢI</w:t>
            </w:r>
          </w:p>
          <w:p w:rsidR="001E28C0" w:rsidRPr="008640F6" w:rsidRDefault="002E619F" w:rsidP="002E619F">
            <w:pPr>
              <w:spacing w:before="40" w:after="40" w:line="240" w:lineRule="auto"/>
              <w:jc w:val="center"/>
              <w:rPr>
                <w:rFonts w:cs="Times New Roman"/>
                <w:lang w:val="vi-VN"/>
              </w:rPr>
            </w:pPr>
            <w:r w:rsidRPr="008640F6">
              <w:rPr>
                <w:rFonts w:cs="Times New Roman"/>
                <w:b/>
                <w:noProof/>
                <w:sz w:val="26"/>
              </w:rPr>
              <mc:AlternateContent>
                <mc:Choice Requires="wps">
                  <w:drawing>
                    <wp:anchor distT="0" distB="0" distL="114300" distR="114300" simplePos="0" relativeHeight="251660288" behindDoc="0" locked="0" layoutInCell="1" allowOverlap="1" wp14:anchorId="36E7FF85" wp14:editId="7D426502">
                      <wp:simplePos x="0" y="0"/>
                      <wp:positionH relativeFrom="column">
                        <wp:posOffset>767715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9D29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" strokecolor="black [3040]"/>
                  </w:pict>
                </mc:Fallback>
              </mc:AlternateContent>
            </w:r>
          </w:p>
        </w:tc>
        <w:tc>
          <w:tcPr>
            <w:tcW w:w="5842" w:type="dxa"/>
            <w:shd w:val="clear" w:color="auto" w:fill="auto"/>
          </w:tcPr>
          <w:p w:rsidR="001E28C0" w:rsidRPr="008640F6" w:rsidRDefault="001E28C0" w:rsidP="002E619F">
            <w:pPr>
              <w:spacing w:before="40" w:after="40" w:line="240" w:lineRule="auto"/>
              <w:jc w:val="center"/>
              <w:rPr>
                <w:rFonts w:cs="Times New Roman"/>
                <w:b/>
                <w:sz w:val="26"/>
              </w:rPr>
            </w:pPr>
            <w:r w:rsidRPr="008640F6">
              <w:rPr>
                <w:rFonts w:cs="Times New Roman"/>
                <w:b/>
                <w:sz w:val="26"/>
              </w:rPr>
              <w:t>CỘNG HÒA XÃ HỘI CHỦ NGHĨA VIỆT NAM</w:t>
            </w:r>
          </w:p>
          <w:p w:rsidR="001E28C0" w:rsidRPr="008640F6" w:rsidRDefault="001E28C0" w:rsidP="002E619F">
            <w:pPr>
              <w:spacing w:before="40" w:after="40" w:line="240" w:lineRule="auto"/>
              <w:jc w:val="center"/>
              <w:rPr>
                <w:rFonts w:cs="Times New Roman"/>
                <w:b/>
                <w:sz w:val="26"/>
              </w:rPr>
            </w:pPr>
            <w:r w:rsidRPr="008640F6">
              <w:rPr>
                <w:rFonts w:cs="Times New Roman"/>
                <w:b/>
                <w:sz w:val="26"/>
              </w:rPr>
              <w:t>Độc lập - Tự do - Hạnh phúc</w:t>
            </w:r>
          </w:p>
          <w:p w:rsidR="001E28C0" w:rsidRPr="008640F6" w:rsidRDefault="001E28C0" w:rsidP="002E619F">
            <w:pPr>
              <w:spacing w:before="40" w:after="40" w:line="240" w:lineRule="auto"/>
              <w:jc w:val="center"/>
              <w:rPr>
                <w:rFonts w:cs="Times New Roman"/>
                <w:i/>
              </w:rPr>
            </w:pPr>
            <w:r w:rsidRPr="008640F6">
              <w:rPr>
                <w:rFonts w:cs="Times New Roman"/>
                <w:i/>
                <w:noProof/>
              </w:rPr>
              <mc:AlternateContent>
                <mc:Choice Requires="wps">
                  <w:drawing>
                    <wp:anchor distT="0" distB="0" distL="114300" distR="114300" simplePos="0" relativeHeight="251659264" behindDoc="0" locked="0" layoutInCell="1" allowOverlap="1" wp14:anchorId="39A462E9" wp14:editId="727348E7">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CEA713"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rsidR="001E28C0" w:rsidRPr="008640F6" w:rsidRDefault="001E28C0" w:rsidP="002E619F">
            <w:pPr>
              <w:spacing w:before="40" w:after="40" w:line="240" w:lineRule="auto"/>
              <w:jc w:val="center"/>
              <w:rPr>
                <w:rFonts w:cs="Times New Roman"/>
                <w:i/>
                <w:sz w:val="14"/>
                <w:lang w:val="vi-VN"/>
              </w:rPr>
            </w:pPr>
          </w:p>
        </w:tc>
      </w:tr>
    </w:tbl>
    <w:p w:rsidR="001E28C0" w:rsidRPr="008640F6"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8640F6">
        <w:rPr>
          <w:b/>
          <w:bCs/>
          <w:sz w:val="28"/>
          <w:szCs w:val="28"/>
          <w:bdr w:val="none" w:sz="0" w:space="0" w:color="auto" w:frame="1"/>
        </w:rPr>
        <w:t>MỘT SỐ CHÍNH SÁCH, PHÁP LUẬT</w:t>
      </w:r>
    </w:p>
    <w:p w:rsidR="001E28C0" w:rsidRPr="008640F6"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8640F6">
        <w:rPr>
          <w:b/>
          <w:bCs/>
          <w:sz w:val="28"/>
          <w:szCs w:val="28"/>
          <w:bdr w:val="none" w:sz="0" w:space="0" w:color="auto" w:frame="1"/>
        </w:rPr>
        <w:t>CÓ HIỆU LỰC TỪ THÁNG 12</w:t>
      </w:r>
      <w:r w:rsidR="001E28C0" w:rsidRPr="008640F6">
        <w:rPr>
          <w:b/>
          <w:bCs/>
          <w:sz w:val="28"/>
          <w:szCs w:val="28"/>
          <w:bdr w:val="none" w:sz="0" w:space="0" w:color="auto" w:frame="1"/>
        </w:rPr>
        <w:t>/2022</w:t>
      </w:r>
    </w:p>
    <w:p w:rsidR="001E28C0" w:rsidRPr="008640F6"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BE7AF9" w:rsidRPr="008640F6" w:rsidRDefault="00AD6353" w:rsidP="009D4D6E">
      <w:pPr>
        <w:pStyle w:val="lead"/>
        <w:spacing w:before="0" w:beforeAutospacing="0" w:after="0" w:afterAutospacing="0" w:line="360" w:lineRule="auto"/>
        <w:ind w:firstLine="567"/>
        <w:jc w:val="both"/>
        <w:rPr>
          <w:bCs/>
          <w:iCs/>
          <w:sz w:val="28"/>
          <w:szCs w:val="28"/>
        </w:rPr>
      </w:pPr>
      <w:r w:rsidRPr="008640F6">
        <w:rPr>
          <w:bCs/>
          <w:iCs/>
          <w:sz w:val="28"/>
          <w:szCs w:val="28"/>
        </w:rPr>
        <w:t>Trong tháng 12</w:t>
      </w:r>
      <w:r w:rsidR="00A51477" w:rsidRPr="008640F6">
        <w:rPr>
          <w:bCs/>
          <w:iCs/>
          <w:sz w:val="28"/>
          <w:szCs w:val="28"/>
        </w:rPr>
        <w:t xml:space="preserve">/2022 </w:t>
      </w:r>
      <w:r w:rsidR="00EC437A" w:rsidRPr="008640F6">
        <w:rPr>
          <w:bCs/>
          <w:iCs/>
          <w:sz w:val="28"/>
          <w:szCs w:val="28"/>
        </w:rPr>
        <w:t>có</w:t>
      </w:r>
      <w:r w:rsidR="00E864A3" w:rsidRPr="008640F6">
        <w:rPr>
          <w:bCs/>
          <w:iCs/>
          <w:sz w:val="28"/>
          <w:szCs w:val="28"/>
        </w:rPr>
        <w:t xml:space="preserve"> </w:t>
      </w:r>
      <w:r w:rsidR="002B186B" w:rsidRPr="008640F6">
        <w:rPr>
          <w:bCs/>
          <w:iCs/>
          <w:sz w:val="28"/>
          <w:szCs w:val="28"/>
        </w:rPr>
        <w:t>05</w:t>
      </w:r>
      <w:r w:rsidR="0066692B" w:rsidRPr="008640F6">
        <w:rPr>
          <w:bCs/>
          <w:iCs/>
          <w:sz w:val="28"/>
          <w:szCs w:val="28"/>
        </w:rPr>
        <w:t xml:space="preserve"> </w:t>
      </w:r>
      <w:r w:rsidR="00D4698C" w:rsidRPr="008640F6">
        <w:rPr>
          <w:bCs/>
          <w:iCs/>
          <w:sz w:val="28"/>
          <w:szCs w:val="28"/>
        </w:rPr>
        <w:t>Nghị định</w:t>
      </w:r>
      <w:r w:rsidR="00C37892" w:rsidRPr="008640F6">
        <w:rPr>
          <w:bCs/>
          <w:iCs/>
          <w:sz w:val="28"/>
          <w:szCs w:val="28"/>
        </w:rPr>
        <w:t>,</w:t>
      </w:r>
      <w:r w:rsidR="001E28C0" w:rsidRPr="008640F6">
        <w:rPr>
          <w:bCs/>
          <w:iCs/>
          <w:sz w:val="28"/>
          <w:szCs w:val="28"/>
        </w:rPr>
        <w:t xml:space="preserve"> </w:t>
      </w:r>
      <w:r w:rsidR="002B186B" w:rsidRPr="008640F6">
        <w:rPr>
          <w:bCs/>
          <w:iCs/>
          <w:sz w:val="28"/>
          <w:szCs w:val="28"/>
        </w:rPr>
        <w:t>05</w:t>
      </w:r>
      <w:r w:rsidR="00C37892" w:rsidRPr="008640F6">
        <w:rPr>
          <w:bCs/>
          <w:iCs/>
          <w:sz w:val="28"/>
          <w:szCs w:val="28"/>
        </w:rPr>
        <w:t xml:space="preserve"> Quyết định</w:t>
      </w:r>
      <w:r w:rsidR="00DE706A" w:rsidRPr="008640F6">
        <w:rPr>
          <w:bCs/>
          <w:iCs/>
          <w:sz w:val="28"/>
          <w:szCs w:val="28"/>
        </w:rPr>
        <w:t xml:space="preserve">, </w:t>
      </w:r>
      <w:r w:rsidR="002B186B" w:rsidRPr="008640F6">
        <w:rPr>
          <w:bCs/>
          <w:iCs/>
          <w:sz w:val="28"/>
          <w:szCs w:val="28"/>
        </w:rPr>
        <w:t>30</w:t>
      </w:r>
      <w:r w:rsidR="00DE706A" w:rsidRPr="008640F6">
        <w:rPr>
          <w:bCs/>
          <w:iCs/>
          <w:sz w:val="28"/>
          <w:szCs w:val="28"/>
        </w:rPr>
        <w:t xml:space="preserve"> Thông tư </w:t>
      </w:r>
      <w:r w:rsidR="001E28C0" w:rsidRPr="008640F6">
        <w:rPr>
          <w:bCs/>
          <w:iCs/>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2B186B" w:rsidRPr="008640F6" w:rsidRDefault="005834BE" w:rsidP="009D4D6E">
      <w:pPr>
        <w:pStyle w:val="NormalWeb"/>
        <w:shd w:val="clear" w:color="auto" w:fill="FFFFFF"/>
        <w:spacing w:before="0" w:beforeAutospacing="0" w:after="0" w:afterAutospacing="0" w:line="360" w:lineRule="auto"/>
        <w:ind w:firstLine="567"/>
        <w:jc w:val="both"/>
        <w:textAlignment w:val="baseline"/>
        <w:rPr>
          <w:b/>
          <w:sz w:val="28"/>
          <w:szCs w:val="28"/>
        </w:rPr>
      </w:pPr>
      <w:r w:rsidRPr="008640F6">
        <w:rPr>
          <w:b/>
          <w:sz w:val="28"/>
          <w:szCs w:val="28"/>
        </w:rPr>
        <w:t>1</w:t>
      </w:r>
      <w:r w:rsidR="002B186B" w:rsidRPr="008640F6">
        <w:rPr>
          <w:b/>
          <w:sz w:val="28"/>
          <w:szCs w:val="28"/>
        </w:rPr>
        <w:t xml:space="preserve">. Nghị định </w:t>
      </w:r>
      <w:r w:rsidR="002B186B" w:rsidRPr="008640F6">
        <w:rPr>
          <w:b/>
          <w:sz w:val="28"/>
          <w:szCs w:val="28"/>
          <w:shd w:val="clear" w:color="auto" w:fill="FFFFFF"/>
        </w:rPr>
        <w:t>số 88/2022/NĐ-CP</w:t>
      </w:r>
      <w:r w:rsidR="002B186B" w:rsidRPr="008640F6">
        <w:rPr>
          <w:b/>
          <w:sz w:val="28"/>
          <w:szCs w:val="28"/>
        </w:rPr>
        <w:t xml:space="preserve"> ngày 26/10/2022 của Chính Phủ </w:t>
      </w:r>
      <w:r w:rsidR="002B186B" w:rsidRPr="008640F6">
        <w:rPr>
          <w:b/>
          <w:sz w:val="28"/>
          <w:szCs w:val="28"/>
          <w:shd w:val="clear" w:color="auto" w:fill="FFFFFF"/>
          <w:lang w:val="vi-VN"/>
        </w:rPr>
        <w:t xml:space="preserve">quy định xử phạt </w:t>
      </w:r>
      <w:proofErr w:type="gramStart"/>
      <w:r w:rsidR="002B186B" w:rsidRPr="008640F6">
        <w:rPr>
          <w:b/>
          <w:sz w:val="28"/>
          <w:szCs w:val="28"/>
          <w:shd w:val="clear" w:color="auto" w:fill="FFFFFF"/>
          <w:lang w:val="vi-VN"/>
        </w:rPr>
        <w:t>vi</w:t>
      </w:r>
      <w:proofErr w:type="gramEnd"/>
      <w:r w:rsidR="002B186B" w:rsidRPr="008640F6">
        <w:rPr>
          <w:b/>
          <w:sz w:val="28"/>
          <w:szCs w:val="28"/>
          <w:shd w:val="clear" w:color="auto" w:fill="FFFFFF"/>
          <w:lang w:val="vi-VN"/>
        </w:rPr>
        <w:t xml:space="preserve"> phạm hành chính trong lĩnh vực giáo dục nghề nghiệp</w:t>
      </w:r>
      <w:r w:rsidR="002B186B" w:rsidRPr="008640F6">
        <w:rPr>
          <w:b/>
          <w:sz w:val="28"/>
          <w:szCs w:val="28"/>
        </w:rPr>
        <w:t xml:space="preserve"> </w:t>
      </w:r>
    </w:p>
    <w:p w:rsidR="005F7B94" w:rsidRPr="008640F6" w:rsidRDefault="002B186B" w:rsidP="009D4D6E">
      <w:pPr>
        <w:pStyle w:val="NormalWeb"/>
        <w:shd w:val="clear" w:color="auto" w:fill="FFFFFF"/>
        <w:spacing w:before="0" w:beforeAutospacing="0" w:after="0" w:afterAutospacing="0" w:line="360" w:lineRule="auto"/>
        <w:ind w:firstLine="567"/>
        <w:jc w:val="both"/>
        <w:textAlignment w:val="baseline"/>
        <w:rPr>
          <w:sz w:val="28"/>
          <w:szCs w:val="28"/>
        </w:rPr>
      </w:pPr>
      <w:r w:rsidRPr="008640F6">
        <w:rPr>
          <w:sz w:val="28"/>
          <w:szCs w:val="28"/>
        </w:rPr>
        <w:t xml:space="preserve">Cụ thể là </w:t>
      </w:r>
      <w:r w:rsidR="009D4D6E" w:rsidRPr="008640F6">
        <w:rPr>
          <w:sz w:val="28"/>
          <w:szCs w:val="28"/>
        </w:rPr>
        <w:t xml:space="preserve">từ </w:t>
      </w:r>
      <w:r w:rsidRPr="008640F6">
        <w:rPr>
          <w:sz w:val="28"/>
          <w:szCs w:val="28"/>
        </w:rPr>
        <w:t xml:space="preserve">ngày 12/12/2022, Nghị định số </w:t>
      </w:r>
      <w:hyperlink r:id="rId8" w:history="1">
        <w:r w:rsidRPr="008640F6">
          <w:rPr>
            <w:rStyle w:val="Hyperlink"/>
            <w:color w:val="auto"/>
            <w:sz w:val="28"/>
            <w:szCs w:val="28"/>
            <w:u w:val="none"/>
          </w:rPr>
          <w:t>88/2022/NĐ-CP</w:t>
        </w:r>
      </w:hyperlink>
      <w:r w:rsidRPr="008640F6">
        <w:rPr>
          <w:sz w:val="28"/>
          <w:szCs w:val="28"/>
        </w:rPr>
        <w:t xml:space="preserve"> quy định về xử phạt </w:t>
      </w:r>
      <w:proofErr w:type="gramStart"/>
      <w:r w:rsidRPr="008640F6">
        <w:rPr>
          <w:sz w:val="28"/>
          <w:szCs w:val="28"/>
        </w:rPr>
        <w:t>vi</w:t>
      </w:r>
      <w:proofErr w:type="gramEnd"/>
      <w:r w:rsidRPr="008640F6">
        <w:rPr>
          <w:sz w:val="28"/>
          <w:szCs w:val="28"/>
        </w:rPr>
        <w:t xml:space="preserve"> phạm hành chính trong lĩnh vực giáo dục nghề nghiệp cũng sẽ được đưa vào áp dụng, thay thế cho Nghị định </w:t>
      </w:r>
      <w:hyperlink r:id="rId9" w:history="1">
        <w:r w:rsidRPr="008640F6">
          <w:rPr>
            <w:rStyle w:val="Hyperlink"/>
            <w:color w:val="auto"/>
            <w:sz w:val="28"/>
            <w:szCs w:val="28"/>
            <w:u w:val="none"/>
          </w:rPr>
          <w:t>79/2015/NĐ-CP</w:t>
        </w:r>
      </w:hyperlink>
      <w:r w:rsidRPr="008640F6">
        <w:rPr>
          <w:sz w:val="28"/>
          <w:szCs w:val="28"/>
        </w:rPr>
        <w:t>.</w:t>
      </w:r>
    </w:p>
    <w:p w:rsidR="005F7B94" w:rsidRPr="008640F6" w:rsidRDefault="002B186B" w:rsidP="009D4D6E">
      <w:pPr>
        <w:pStyle w:val="NormalWeb"/>
        <w:shd w:val="clear" w:color="auto" w:fill="FFFFFF"/>
        <w:spacing w:before="0" w:beforeAutospacing="0" w:after="0" w:afterAutospacing="0" w:line="360" w:lineRule="auto"/>
        <w:ind w:firstLine="567"/>
        <w:jc w:val="both"/>
        <w:textAlignment w:val="baseline"/>
        <w:rPr>
          <w:sz w:val="28"/>
          <w:szCs w:val="28"/>
        </w:rPr>
      </w:pPr>
      <w:r w:rsidRPr="008640F6">
        <w:rPr>
          <w:sz w:val="28"/>
          <w:szCs w:val="28"/>
        </w:rPr>
        <w:t xml:space="preserve">Nghị định mới đã tăng mạnh mức phạt đối với các hành </w:t>
      </w:r>
      <w:proofErr w:type="gramStart"/>
      <w:r w:rsidRPr="008640F6">
        <w:rPr>
          <w:sz w:val="28"/>
          <w:szCs w:val="28"/>
        </w:rPr>
        <w:t>vi</w:t>
      </w:r>
      <w:proofErr w:type="gramEnd"/>
      <w:r w:rsidRPr="008640F6">
        <w:rPr>
          <w:sz w:val="28"/>
          <w:szCs w:val="28"/>
        </w:rPr>
        <w:t xml:space="preserve"> vi phạm trong lĩnh vực giáo dục nghề nghiệp. Theo đó, hành vi sử dụng văn bằng, chứng chỉ giáo dục nghề nghiệp của người khác hoặc cho người khác sử dụng văn bằng, chứng chỉ giáo dục nghề nghiệp của mình sẽ bị phạt từ 10 - 20 triệu đồng </w:t>
      </w:r>
      <w:r w:rsidRPr="008640F6">
        <w:rPr>
          <w:rStyle w:val="Emphasis"/>
          <w:sz w:val="28"/>
          <w:szCs w:val="28"/>
        </w:rPr>
        <w:t>(trước đó chỉ phạt từ 03 - 05 triệu đồng).</w:t>
      </w:r>
    </w:p>
    <w:p w:rsidR="002B186B" w:rsidRPr="008640F6" w:rsidRDefault="002B186B" w:rsidP="009D4D6E">
      <w:pPr>
        <w:pStyle w:val="NormalWeb"/>
        <w:shd w:val="clear" w:color="auto" w:fill="FFFFFF"/>
        <w:spacing w:before="0" w:beforeAutospacing="0" w:after="0" w:afterAutospacing="0" w:line="360" w:lineRule="auto"/>
        <w:ind w:firstLine="567"/>
        <w:jc w:val="both"/>
        <w:textAlignment w:val="baseline"/>
        <w:rPr>
          <w:sz w:val="28"/>
          <w:szCs w:val="28"/>
        </w:rPr>
      </w:pPr>
      <w:r w:rsidRPr="008640F6">
        <w:rPr>
          <w:sz w:val="28"/>
          <w:szCs w:val="28"/>
        </w:rPr>
        <w:t>Hay như hành vi sử dụng văn bằng, chứng chỉ bị tẩy xóa, sửa chữa làm sai lệch nội dung trước đó chỉ phạt từ 05 - 07 triệu đồng thì từ ngày 12/12/2022, mức phạt đã tăng lên thành từ 10 - 20 triệu đồng.</w:t>
      </w:r>
    </w:p>
    <w:p w:rsidR="002B186B" w:rsidRPr="008640F6" w:rsidRDefault="002B186B" w:rsidP="009D4D6E">
      <w:pPr>
        <w:pStyle w:val="NormalWeb"/>
        <w:spacing w:before="0" w:beforeAutospacing="0" w:after="0" w:afterAutospacing="0" w:line="360" w:lineRule="auto"/>
        <w:ind w:firstLine="567"/>
        <w:jc w:val="both"/>
        <w:rPr>
          <w:sz w:val="28"/>
          <w:szCs w:val="28"/>
        </w:rPr>
      </w:pPr>
      <w:r w:rsidRPr="008640F6">
        <w:rPr>
          <w:sz w:val="28"/>
          <w:szCs w:val="28"/>
        </w:rPr>
        <w:t xml:space="preserve">Ngoài ra, Nghị định số 88 cũng bổ sung một số hành </w:t>
      </w:r>
      <w:proofErr w:type="gramStart"/>
      <w:r w:rsidRPr="008640F6">
        <w:rPr>
          <w:sz w:val="28"/>
          <w:szCs w:val="28"/>
        </w:rPr>
        <w:t>vi</w:t>
      </w:r>
      <w:proofErr w:type="gramEnd"/>
      <w:r w:rsidRPr="008640F6">
        <w:rPr>
          <w:sz w:val="28"/>
          <w:szCs w:val="28"/>
        </w:rPr>
        <w:t xml:space="preserve"> mới bị xử phạt hành chính như:</w:t>
      </w:r>
    </w:p>
    <w:p w:rsidR="002B186B" w:rsidRPr="008640F6" w:rsidRDefault="002B186B" w:rsidP="009D4D6E">
      <w:pPr>
        <w:pStyle w:val="NormalWeb"/>
        <w:spacing w:before="0" w:beforeAutospacing="0" w:after="0" w:afterAutospacing="0" w:line="360" w:lineRule="auto"/>
        <w:ind w:firstLine="567"/>
        <w:jc w:val="both"/>
        <w:rPr>
          <w:sz w:val="28"/>
          <w:szCs w:val="28"/>
        </w:rPr>
      </w:pPr>
      <w:r w:rsidRPr="008640F6">
        <w:rPr>
          <w:sz w:val="28"/>
          <w:szCs w:val="28"/>
        </w:rPr>
        <w:t xml:space="preserve">- Phạt tiền từ 30 - 40 triệu đồng đối với hành </w:t>
      </w:r>
      <w:proofErr w:type="gramStart"/>
      <w:r w:rsidRPr="008640F6">
        <w:rPr>
          <w:sz w:val="28"/>
          <w:szCs w:val="28"/>
        </w:rPr>
        <w:t>vi</w:t>
      </w:r>
      <w:proofErr w:type="gramEnd"/>
      <w:r w:rsidRPr="008640F6">
        <w:rPr>
          <w:sz w:val="28"/>
          <w:szCs w:val="28"/>
        </w:rPr>
        <w:t xml:space="preserve"> gian lận để được cấp văn bằng, chứng chỉ hoặc bản sao văn bằng, chứng chỉ nhưng chưa đến mức độ bị truy cứu trách nhiệm hình sự.</w:t>
      </w:r>
    </w:p>
    <w:p w:rsidR="002B186B" w:rsidRPr="008640F6" w:rsidRDefault="002B186B" w:rsidP="009D4D6E">
      <w:pPr>
        <w:pStyle w:val="NormalWeb"/>
        <w:spacing w:before="0" w:beforeAutospacing="0" w:after="0" w:afterAutospacing="0" w:line="360" w:lineRule="auto"/>
        <w:ind w:firstLine="567"/>
        <w:jc w:val="both"/>
        <w:rPr>
          <w:sz w:val="28"/>
          <w:szCs w:val="28"/>
        </w:rPr>
      </w:pPr>
      <w:r w:rsidRPr="008640F6">
        <w:rPr>
          <w:sz w:val="28"/>
          <w:szCs w:val="28"/>
        </w:rPr>
        <w:t xml:space="preserve">- Phạt tiền từ 05 - 10 triệu đồng đối với hành vi xúc phạm danh dự, nhân phẩm, xâm phạm thân thể nhà giáo, cán bộ quản lý, viên chức, nhân viên, người </w:t>
      </w:r>
      <w:r w:rsidRPr="008640F6">
        <w:rPr>
          <w:sz w:val="28"/>
          <w:szCs w:val="28"/>
        </w:rPr>
        <w:lastRenderedPageBreak/>
        <w:t>lao động trong cơ sở giáo dục nghề nghiệp nhưng chưa đến mức độ bị truy cứu trách nhiệm hình sự.</w:t>
      </w:r>
    </w:p>
    <w:p w:rsidR="001541E8" w:rsidRPr="008640F6" w:rsidRDefault="002B186B" w:rsidP="009D4D6E">
      <w:pPr>
        <w:pStyle w:val="NormalWeb"/>
        <w:spacing w:before="0" w:beforeAutospacing="0" w:after="0" w:afterAutospacing="0" w:line="360" w:lineRule="auto"/>
        <w:ind w:firstLine="567"/>
        <w:jc w:val="both"/>
        <w:rPr>
          <w:sz w:val="28"/>
          <w:szCs w:val="28"/>
        </w:rPr>
      </w:pPr>
      <w:r w:rsidRPr="008640F6">
        <w:rPr>
          <w:sz w:val="28"/>
          <w:szCs w:val="28"/>
        </w:rPr>
        <w:t xml:space="preserve">- Phạt tiền từ 05 - 10 triệu đồng đồng đối với hành </w:t>
      </w:r>
      <w:proofErr w:type="gramStart"/>
      <w:r w:rsidRPr="008640F6">
        <w:rPr>
          <w:sz w:val="28"/>
          <w:szCs w:val="28"/>
        </w:rPr>
        <w:t>vi</w:t>
      </w:r>
      <w:proofErr w:type="gramEnd"/>
      <w:r w:rsidRPr="008640F6">
        <w:rPr>
          <w:sz w:val="28"/>
          <w:szCs w:val="28"/>
        </w:rPr>
        <w:t xml:space="preserve"> kỷ luật người học không đúng quy định; xúc phạm danh dự, nhân phẩm, xâm phạm thân thể người học nhưng chưa đến mức độ bị truy cứu trách nhiệm hình sự.</w:t>
      </w:r>
    </w:p>
    <w:p w:rsidR="005834BE" w:rsidRPr="008640F6" w:rsidRDefault="005834BE" w:rsidP="009D4D6E">
      <w:pPr>
        <w:pStyle w:val="NormalWeb"/>
        <w:spacing w:before="0" w:beforeAutospacing="0" w:after="0" w:afterAutospacing="0" w:line="360" w:lineRule="auto"/>
        <w:ind w:firstLine="567"/>
        <w:jc w:val="both"/>
        <w:rPr>
          <w:sz w:val="28"/>
          <w:szCs w:val="28"/>
          <w:shd w:val="clear" w:color="auto" w:fill="FFFFFF"/>
        </w:rPr>
      </w:pPr>
      <w:r w:rsidRPr="008640F6">
        <w:rPr>
          <w:b/>
          <w:sz w:val="28"/>
          <w:szCs w:val="28"/>
          <w:shd w:val="clear" w:color="auto" w:fill="FFFFFF"/>
        </w:rPr>
        <w:t>2.</w:t>
      </w:r>
      <w:r w:rsidR="008640F6" w:rsidRPr="008640F6">
        <w:rPr>
          <w:b/>
          <w:sz w:val="28"/>
          <w:szCs w:val="28"/>
          <w:shd w:val="clear" w:color="auto" w:fill="FFFFFF"/>
        </w:rPr>
        <w:t xml:space="preserve"> </w:t>
      </w:r>
      <w:r w:rsidR="00795485" w:rsidRPr="008640F6">
        <w:rPr>
          <w:b/>
          <w:sz w:val="28"/>
          <w:szCs w:val="28"/>
          <w:shd w:val="clear" w:color="auto" w:fill="FFFFFF"/>
        </w:rPr>
        <w:t xml:space="preserve">Nghị định số </w:t>
      </w:r>
      <w:r w:rsidRPr="008640F6">
        <w:rPr>
          <w:b/>
          <w:sz w:val="28"/>
          <w:szCs w:val="28"/>
          <w:shd w:val="clear" w:color="auto" w:fill="FFFFFF"/>
        </w:rPr>
        <w:t>82/2022/NĐ-CP ngày 18/10/2022 của Chính phủ quy định về việc sửa đổi, bổ sung một số điều của Nghị định 113/2017/NĐ-CP ngày 09/10/2017 của Chính phủ quy định chi tiết và hướng dẫn thi hành một số điều của Luật Hóa chất</w:t>
      </w:r>
      <w:r w:rsidRPr="008640F6">
        <w:rPr>
          <w:sz w:val="28"/>
          <w:szCs w:val="28"/>
          <w:shd w:val="clear" w:color="auto" w:fill="FFFFFF"/>
        </w:rPr>
        <w:t>.</w:t>
      </w:r>
    </w:p>
    <w:p w:rsidR="005F7B94" w:rsidRPr="008640F6" w:rsidRDefault="005834BE" w:rsidP="009D4D6E">
      <w:pPr>
        <w:pStyle w:val="NoSpacing"/>
        <w:spacing w:line="360" w:lineRule="auto"/>
        <w:ind w:firstLine="567"/>
        <w:jc w:val="both"/>
        <w:rPr>
          <w:rFonts w:cs="Times New Roman"/>
          <w:szCs w:val="28"/>
        </w:rPr>
      </w:pPr>
      <w:r w:rsidRPr="008640F6">
        <w:rPr>
          <w:rFonts w:cs="Times New Roman"/>
          <w:szCs w:val="28"/>
        </w:rPr>
        <w:t>Theo đó, bổ sung quy định về các trường hợp không thuộc diện phải cấp Giấy chứng nhận đủ điều kiện sản xuất, kinh doanh hóa chất sản xuất, kinh doanh có điều kiện trong lĩnh vực công nghiệp. Cụ thể:</w:t>
      </w:r>
      <w:r w:rsidRPr="008640F6">
        <w:rPr>
          <w:rFonts w:cs="Times New Roman"/>
          <w:szCs w:val="28"/>
        </w:rPr>
        <w:br/>
      </w:r>
      <w:r w:rsidR="005F7B94" w:rsidRPr="008640F6">
        <w:rPr>
          <w:rFonts w:cs="Times New Roman"/>
          <w:szCs w:val="28"/>
        </w:rPr>
        <w:t xml:space="preserve"> </w:t>
      </w:r>
      <w:r w:rsidR="005F7B94" w:rsidRPr="008640F6">
        <w:rPr>
          <w:rFonts w:cs="Times New Roman"/>
          <w:szCs w:val="28"/>
        </w:rPr>
        <w:tab/>
      </w:r>
      <w:r w:rsidRPr="008640F6">
        <w:rPr>
          <w:rFonts w:cs="Times New Roman"/>
          <w:szCs w:val="28"/>
        </w:rPr>
        <w:t xml:space="preserve">Một là, hoạt động pha loãng, phối trộn hóa chất không xảy ra phản ứng hóa học tạo thành hóa chất sản xuất, kinh doanh có điều kiện trong lĩnh vực công nghiệp để đưa vào quá trình sử dụng, sản xuất sản phẩm, </w:t>
      </w:r>
      <w:r w:rsidR="005F7B94" w:rsidRPr="008640F6">
        <w:rPr>
          <w:rFonts w:cs="Times New Roman"/>
          <w:szCs w:val="28"/>
        </w:rPr>
        <w:t>hàng hóa khác của chính tổ chức  cá nhân</w:t>
      </w:r>
    </w:p>
    <w:p w:rsidR="005F7B94" w:rsidRPr="008640F6" w:rsidRDefault="005834BE" w:rsidP="009D4D6E">
      <w:pPr>
        <w:pStyle w:val="NoSpacing"/>
        <w:spacing w:line="360" w:lineRule="auto"/>
        <w:ind w:firstLine="567"/>
        <w:jc w:val="both"/>
        <w:rPr>
          <w:rFonts w:cs="Times New Roman"/>
          <w:szCs w:val="28"/>
        </w:rPr>
      </w:pPr>
      <w:r w:rsidRPr="008640F6">
        <w:rPr>
          <w:rFonts w:cs="Times New Roman"/>
          <w:szCs w:val="28"/>
          <w:shd w:val="clear" w:color="auto" w:fill="FFFFFF"/>
        </w:rPr>
        <w:t>Hai là, thành phần hóa chất trong hỗn hợp chất thuộc Danh mục hóa chất sản xuất, kinh doanh có điều kiện trong lĩnh vực công nghiệp có hàm lượng trong hỗn hợp chất nhỏ hơn 0</w:t>
      </w:r>
      <w:proofErr w:type="gramStart"/>
      <w:r w:rsidRPr="008640F6">
        <w:rPr>
          <w:rFonts w:cs="Times New Roman"/>
          <w:szCs w:val="28"/>
          <w:shd w:val="clear" w:color="auto" w:fill="FFFFFF"/>
        </w:rPr>
        <w:t>,1</w:t>
      </w:r>
      <w:proofErr w:type="gramEnd"/>
      <w:r w:rsidRPr="008640F6">
        <w:rPr>
          <w:rFonts w:cs="Times New Roman"/>
          <w:szCs w:val="28"/>
          <w:shd w:val="clear" w:color="auto" w:fill="FFFFFF"/>
        </w:rPr>
        <w:t>%.</w:t>
      </w:r>
    </w:p>
    <w:p w:rsidR="005F7B94" w:rsidRPr="008640F6" w:rsidRDefault="005834BE" w:rsidP="009D4D6E">
      <w:pPr>
        <w:pStyle w:val="NoSpacing"/>
        <w:spacing w:line="360" w:lineRule="auto"/>
        <w:ind w:firstLine="567"/>
        <w:jc w:val="both"/>
        <w:rPr>
          <w:rFonts w:cs="Times New Roman"/>
          <w:szCs w:val="28"/>
        </w:rPr>
      </w:pPr>
      <w:r w:rsidRPr="008640F6">
        <w:rPr>
          <w:rFonts w:cs="Times New Roman"/>
          <w:szCs w:val="28"/>
          <w:shd w:val="clear" w:color="auto" w:fill="FFFFFF"/>
        </w:rPr>
        <w:t>Tổ chức, cá nhân sử dụng tiền chất công nghiệp để sản xuất các sản phẩm, hàng hóa khác phải thực hiện các quy định tại Chương V của Luật hóa chất. Ngoài ra, phải có đầy đủ hóa đơn mua tiền chất công nghiệp, giấy tờ chứng minh nguồn gốc xuất xứ, thông tin về nhà sản xuất, nhà nhập khẩu hoặc nhà cung cấp các loại tiền chất công nghiệp, có phiếu xuất kho, nhập kho; phải lập sổ theo dõi tình hình sử dụng tiền chất công nghiệp với các thông tin theo quy định.</w:t>
      </w:r>
    </w:p>
    <w:p w:rsidR="005834BE" w:rsidRPr="008640F6" w:rsidRDefault="005834BE" w:rsidP="009D4D6E">
      <w:pPr>
        <w:pStyle w:val="NoSpacing"/>
        <w:spacing w:line="360" w:lineRule="auto"/>
        <w:ind w:firstLine="567"/>
        <w:jc w:val="both"/>
        <w:rPr>
          <w:rFonts w:cs="Times New Roman"/>
          <w:szCs w:val="28"/>
          <w:shd w:val="clear" w:color="auto" w:fill="FFFFFF"/>
        </w:rPr>
      </w:pPr>
      <w:r w:rsidRPr="008640F6">
        <w:rPr>
          <w:rFonts w:cs="Times New Roman"/>
          <w:szCs w:val="28"/>
          <w:shd w:val="clear" w:color="auto" w:fill="FFFFFF"/>
        </w:rPr>
        <w:t>Ngoài ra, trong quá trình sử dụng tiền chất công nghiệp, tổ chức, cá nhân phải có biện pháp quản lý, kiểm soát tiền chất công nghiệp và phải chịu trách nhiệm trước pháp luật về việc làm thất thoát tiền chất công nghiệp.</w:t>
      </w:r>
      <w:r w:rsidRPr="008640F6">
        <w:rPr>
          <w:rFonts w:cs="Times New Roman"/>
          <w:szCs w:val="28"/>
        </w:rPr>
        <w:br/>
      </w:r>
      <w:r w:rsidR="005F7B94" w:rsidRPr="008640F6">
        <w:rPr>
          <w:rFonts w:cs="Times New Roman"/>
          <w:szCs w:val="28"/>
          <w:shd w:val="clear" w:color="auto" w:fill="FFFFFF"/>
        </w:rPr>
        <w:t xml:space="preserve"> </w:t>
      </w:r>
      <w:r w:rsidR="005F7B94" w:rsidRPr="008640F6">
        <w:rPr>
          <w:rFonts w:cs="Times New Roman"/>
          <w:szCs w:val="28"/>
          <w:shd w:val="clear" w:color="auto" w:fill="FFFFFF"/>
        </w:rPr>
        <w:tab/>
      </w:r>
      <w:r w:rsidRPr="008640F6">
        <w:rPr>
          <w:rFonts w:cs="Times New Roman"/>
          <w:szCs w:val="28"/>
          <w:shd w:val="clear" w:color="auto" w:fill="FFFFFF"/>
        </w:rPr>
        <w:t>Nghị định có hiệu lực từ ngày 22/12/2022.</w:t>
      </w:r>
    </w:p>
    <w:p w:rsidR="005834BE" w:rsidRPr="008640F6" w:rsidRDefault="005F7B94" w:rsidP="009D4D6E">
      <w:pPr>
        <w:pStyle w:val="NormalWeb"/>
        <w:spacing w:before="0" w:beforeAutospacing="0" w:after="0" w:afterAutospacing="0" w:line="360" w:lineRule="auto"/>
        <w:ind w:firstLine="567"/>
        <w:jc w:val="both"/>
        <w:rPr>
          <w:b/>
          <w:sz w:val="28"/>
          <w:szCs w:val="28"/>
          <w:shd w:val="clear" w:color="auto" w:fill="FFFFFF"/>
        </w:rPr>
      </w:pPr>
      <w:r w:rsidRPr="008640F6">
        <w:rPr>
          <w:b/>
          <w:sz w:val="28"/>
          <w:szCs w:val="28"/>
          <w:shd w:val="clear" w:color="auto" w:fill="FFFFFF"/>
        </w:rPr>
        <w:lastRenderedPageBreak/>
        <w:t>3.</w:t>
      </w:r>
      <w:r w:rsidR="008640F6" w:rsidRPr="008640F6">
        <w:rPr>
          <w:b/>
          <w:sz w:val="28"/>
          <w:szCs w:val="28"/>
          <w:shd w:val="clear" w:color="auto" w:fill="FFFFFF"/>
        </w:rPr>
        <w:t xml:space="preserve"> </w:t>
      </w:r>
      <w:r w:rsidR="005834BE" w:rsidRPr="008640F6">
        <w:rPr>
          <w:b/>
          <w:sz w:val="28"/>
          <w:szCs w:val="28"/>
          <w:shd w:val="clear" w:color="auto" w:fill="FFFFFF"/>
        </w:rPr>
        <w:t>Quyết định số 21/2022/QĐ-TTg ngày 09/11/2022 của Chính Phủ về cơ chế, chính sách khuyến khích phát triển giao thông vận tải đường thủy nội địa.</w:t>
      </w:r>
    </w:p>
    <w:p w:rsidR="005F7B94" w:rsidRPr="008640F6" w:rsidRDefault="005834BE" w:rsidP="009D4D6E">
      <w:pPr>
        <w:pStyle w:val="NoSpacing"/>
        <w:spacing w:line="360" w:lineRule="auto"/>
        <w:ind w:firstLine="567"/>
        <w:jc w:val="both"/>
        <w:rPr>
          <w:rFonts w:cs="Times New Roman"/>
          <w:szCs w:val="28"/>
        </w:rPr>
      </w:pPr>
      <w:r w:rsidRPr="008640F6">
        <w:rPr>
          <w:rFonts w:cs="Times New Roman"/>
          <w:szCs w:val="28"/>
          <w:shd w:val="clear" w:color="auto" w:fill="FFFFFF"/>
        </w:rPr>
        <w:t xml:space="preserve">Theo đó, Bộ Giao thông Vận tải ưu tiên bố trí vốn đầu tư công cho phát triển kết cấu hạ tầng giao thông vận tải đường thủy nội địa </w:t>
      </w:r>
      <w:proofErr w:type="gramStart"/>
      <w:r w:rsidRPr="008640F6">
        <w:rPr>
          <w:rFonts w:cs="Times New Roman"/>
          <w:szCs w:val="28"/>
          <w:shd w:val="clear" w:color="auto" w:fill="FFFFFF"/>
        </w:rPr>
        <w:t>theo</w:t>
      </w:r>
      <w:proofErr w:type="gramEnd"/>
      <w:r w:rsidRPr="008640F6">
        <w:rPr>
          <w:rFonts w:cs="Times New Roman"/>
          <w:szCs w:val="28"/>
          <w:shd w:val="clear" w:color="auto" w:fill="FFFFFF"/>
        </w:rPr>
        <w:t xml:space="preserve"> kế hoạch đầu tư công trung hạn đã được cấp có thẩm quyền phê duyệt. Ủy ban nhân dân các tỉnh, thành phố trực thuộc Trung ương rà soát và quy hoạch các bến khách ngang sông tại địa bàn có điều kiện kinh tế - xã hội khó khăn để đảm bảo việc đầu tư mới các bến khách phù hợp với quy định tại Khoản 2 Điều 12 Luật Đầu tư công 2020 trong trường hợp sử dụng ngân sách địa phương để đầu tư; ưu tiên bố trí đất xây dựng cảng thủy nội địa khai thác hàng công-ten-nơ ở phía Bắc và khu vực đồng bằng sông Cửu Long.</w:t>
      </w:r>
    </w:p>
    <w:p w:rsidR="005F7B94" w:rsidRPr="008640F6" w:rsidRDefault="005834BE" w:rsidP="009D4D6E">
      <w:pPr>
        <w:pStyle w:val="NoSpacing"/>
        <w:spacing w:line="360" w:lineRule="auto"/>
        <w:ind w:firstLine="567"/>
        <w:jc w:val="both"/>
        <w:rPr>
          <w:rFonts w:cs="Times New Roman"/>
          <w:szCs w:val="28"/>
        </w:rPr>
      </w:pPr>
      <w:r w:rsidRPr="008640F6">
        <w:rPr>
          <w:rFonts w:cs="Times New Roman"/>
          <w:szCs w:val="28"/>
          <w:shd w:val="clear" w:color="auto" w:fill="FFFFFF"/>
        </w:rPr>
        <w:t>Bên cạnh đó, Bộ Nông nghiệp và Phát triển nông thôn nghiên cứu hướng dẫn các địa phương có quy định cụ thể các điều kiện để đầu tư, xây dựng các kết cấu hạ tầng giao thông đường thủy nội địa, cơ sở đóng mới, hoán cải, sửa chữa phục hồi phương tiện thủy nội địa ở ngoài đê được hoạt động hiệu quả trong mùa mưa lũ.</w:t>
      </w:r>
    </w:p>
    <w:p w:rsidR="005834BE" w:rsidRPr="008640F6" w:rsidRDefault="005834BE" w:rsidP="009D4D6E">
      <w:pPr>
        <w:pStyle w:val="NoSpacing"/>
        <w:spacing w:line="360" w:lineRule="auto"/>
        <w:ind w:firstLine="567"/>
        <w:jc w:val="both"/>
        <w:rPr>
          <w:rFonts w:cs="Times New Roman"/>
          <w:szCs w:val="28"/>
        </w:rPr>
      </w:pPr>
      <w:r w:rsidRPr="008640F6">
        <w:rPr>
          <w:rFonts w:cs="Times New Roman"/>
          <w:szCs w:val="28"/>
          <w:shd w:val="clear" w:color="auto" w:fill="FFFFFF"/>
        </w:rPr>
        <w:t>Quyết định có hiệu lực từ ngày 25/12/2022.</w:t>
      </w:r>
    </w:p>
    <w:p w:rsidR="00AD6353" w:rsidRPr="008640F6" w:rsidRDefault="001541E8" w:rsidP="009D4D6E">
      <w:pPr>
        <w:pStyle w:val="NoSpacing"/>
        <w:spacing w:line="360" w:lineRule="auto"/>
        <w:jc w:val="both"/>
        <w:rPr>
          <w:rFonts w:cs="Times New Roman"/>
          <w:b/>
          <w:szCs w:val="28"/>
        </w:rPr>
      </w:pPr>
      <w:r w:rsidRPr="008640F6">
        <w:rPr>
          <w:rFonts w:cs="Times New Roman"/>
          <w:szCs w:val="28"/>
        </w:rPr>
        <w:t xml:space="preserve"> </w:t>
      </w:r>
      <w:r w:rsidR="005F7B94" w:rsidRPr="008640F6">
        <w:rPr>
          <w:rFonts w:cs="Times New Roman"/>
          <w:szCs w:val="28"/>
        </w:rPr>
        <w:tab/>
      </w:r>
      <w:r w:rsidR="005F7B94" w:rsidRPr="008640F6">
        <w:rPr>
          <w:rFonts w:cs="Times New Roman"/>
          <w:b/>
          <w:szCs w:val="28"/>
        </w:rPr>
        <w:t>4.</w:t>
      </w:r>
      <w:r w:rsidR="008640F6" w:rsidRPr="008640F6">
        <w:rPr>
          <w:rFonts w:cs="Times New Roman"/>
          <w:b/>
          <w:szCs w:val="28"/>
        </w:rPr>
        <w:t xml:space="preserve"> </w:t>
      </w:r>
      <w:r w:rsidR="00AD6353" w:rsidRPr="008640F6">
        <w:rPr>
          <w:rFonts w:cs="Times New Roman"/>
          <w:b/>
          <w:bCs/>
          <w:szCs w:val="28"/>
        </w:rPr>
        <w:t>Thông tư</w:t>
      </w:r>
      <w:r w:rsidR="005F7B94" w:rsidRPr="008640F6">
        <w:rPr>
          <w:rFonts w:cs="Times New Roman"/>
          <w:b/>
          <w:szCs w:val="28"/>
        </w:rPr>
        <w:t xml:space="preserve"> </w:t>
      </w:r>
      <w:r w:rsidR="00AD6353" w:rsidRPr="008640F6">
        <w:rPr>
          <w:rFonts w:cs="Times New Roman"/>
          <w:b/>
          <w:szCs w:val="28"/>
          <w:shd w:val="clear" w:color="auto" w:fill="FFFFFF"/>
        </w:rPr>
        <w:t>số</w:t>
      </w:r>
      <w:r w:rsidR="005F7B94" w:rsidRPr="008640F6">
        <w:rPr>
          <w:rFonts w:cs="Times New Roman"/>
          <w:b/>
          <w:szCs w:val="28"/>
          <w:shd w:val="clear" w:color="auto" w:fill="FFFFFF"/>
        </w:rPr>
        <w:t xml:space="preserve"> 12/2022/TT-BTNMT ngày </w:t>
      </w:r>
      <w:r w:rsidR="00AD6353" w:rsidRPr="008640F6">
        <w:rPr>
          <w:rFonts w:cs="Times New Roman"/>
          <w:b/>
          <w:szCs w:val="28"/>
          <w:shd w:val="clear" w:color="auto" w:fill="FFFFFF"/>
        </w:rPr>
        <w:t xml:space="preserve">24/10/2022 của Bộ Tài nguyên và Môi </w:t>
      </w:r>
      <w:proofErr w:type="gramStart"/>
      <w:r w:rsidR="00AD6353" w:rsidRPr="008640F6">
        <w:rPr>
          <w:rFonts w:cs="Times New Roman"/>
          <w:b/>
          <w:szCs w:val="28"/>
          <w:shd w:val="clear" w:color="auto" w:fill="FFFFFF"/>
        </w:rPr>
        <w:t xml:space="preserve">trường  </w:t>
      </w:r>
      <w:r w:rsidR="00AD6353" w:rsidRPr="008640F6">
        <w:rPr>
          <w:rFonts w:cs="Times New Roman"/>
          <w:b/>
          <w:szCs w:val="28"/>
        </w:rPr>
        <w:t>sửa</w:t>
      </w:r>
      <w:proofErr w:type="gramEnd"/>
      <w:r w:rsidR="00AD6353" w:rsidRPr="008640F6">
        <w:rPr>
          <w:rFonts w:cs="Times New Roman"/>
          <w:b/>
          <w:szCs w:val="28"/>
        </w:rPr>
        <w:t xml:space="preserve"> đổi, bổ sung một số quy định về tiêu chuẩn chức danh nghề nghiệp viên chức ngành tài nguyên và môi trường</w:t>
      </w:r>
      <w:bookmarkStart w:id="0" w:name="loai_1"/>
    </w:p>
    <w:p w:rsidR="00AD6353" w:rsidRPr="008640F6" w:rsidRDefault="00AD6353" w:rsidP="009D4D6E">
      <w:pPr>
        <w:pStyle w:val="NormalWeb"/>
        <w:shd w:val="clear" w:color="auto" w:fill="FFFFFF"/>
        <w:spacing w:before="0" w:beforeAutospacing="0" w:after="0" w:afterAutospacing="0" w:line="360" w:lineRule="auto"/>
        <w:ind w:firstLine="567"/>
        <w:jc w:val="both"/>
        <w:rPr>
          <w:sz w:val="28"/>
          <w:szCs w:val="28"/>
        </w:rPr>
      </w:pPr>
      <w:r w:rsidRPr="008640F6">
        <w:rPr>
          <w:sz w:val="28"/>
          <w:szCs w:val="28"/>
        </w:rPr>
        <w:t>Theo Thông tư này, yêu cầu phải có chứng chỉ ngoại ngữ, tin học đối với viên chức địa chính các hạng đã chính thức được bãi bỏ.</w:t>
      </w:r>
    </w:p>
    <w:p w:rsidR="00AD6353" w:rsidRPr="008640F6" w:rsidRDefault="00AD6353" w:rsidP="008640F6">
      <w:pPr>
        <w:spacing w:line="360" w:lineRule="auto"/>
        <w:ind w:firstLine="567"/>
        <w:jc w:val="both"/>
        <w:rPr>
          <w:rFonts w:cs="Times New Roman"/>
          <w:szCs w:val="28"/>
        </w:rPr>
      </w:pPr>
      <w:r w:rsidRPr="008640F6">
        <w:rPr>
          <w:rFonts w:cs="Times New Roman"/>
          <w:szCs w:val="28"/>
        </w:rPr>
        <w:t>Chức danh địa chính viên hạng II yêu cầu có kỹ năng sử dụng công nghệ thông tin hoặc sử dụng phần mềm chuyên ngành địa chính, sử dụng ngoại ngữ hoặc tiếng dân tộc thiểu số đối với viên chức công tác ở vùng dân tộc thiểu số theo yêu cầu của vị trí việc làm.</w:t>
      </w:r>
    </w:p>
    <w:p w:rsidR="00AD6353" w:rsidRPr="008640F6" w:rsidRDefault="00AD6353" w:rsidP="009D4D6E">
      <w:pPr>
        <w:spacing w:line="360" w:lineRule="auto"/>
        <w:ind w:firstLine="720"/>
        <w:jc w:val="both"/>
        <w:rPr>
          <w:rFonts w:cs="Times New Roman"/>
          <w:szCs w:val="28"/>
        </w:rPr>
      </w:pPr>
      <w:r w:rsidRPr="008640F6">
        <w:rPr>
          <w:rFonts w:cs="Times New Roman"/>
          <w:szCs w:val="28"/>
        </w:rPr>
        <w:t>Chức danh địa chính viên hạng III yêu cầu viên chức có kỹ năng sử dụng công nghệ thông tin, sử dụng ngoại ngữ hoặc tiếng dân tộc thiểu số đối với viên chức công tác ở vùng dân tộc thiểu số theo yêu cầu của vị trí việc làm.</w:t>
      </w:r>
    </w:p>
    <w:p w:rsidR="005F7B94" w:rsidRPr="008640F6" w:rsidRDefault="00AD6353" w:rsidP="009D4D6E">
      <w:pPr>
        <w:spacing w:line="360" w:lineRule="auto"/>
        <w:jc w:val="both"/>
        <w:rPr>
          <w:rFonts w:cs="Times New Roman"/>
          <w:szCs w:val="28"/>
        </w:rPr>
      </w:pPr>
      <w:r w:rsidRPr="008640F6">
        <w:rPr>
          <w:rFonts w:cs="Times New Roman"/>
          <w:szCs w:val="28"/>
        </w:rPr>
        <w:lastRenderedPageBreak/>
        <w:t>Đối với địa chính viên hạng IV, không còn yêu cầu về trình độ ngoại ngữ, tin học.</w:t>
      </w:r>
    </w:p>
    <w:p w:rsidR="00AD6353" w:rsidRPr="008640F6" w:rsidRDefault="00AD6353" w:rsidP="009D4D6E">
      <w:pPr>
        <w:spacing w:line="360" w:lineRule="auto"/>
        <w:ind w:firstLine="720"/>
        <w:jc w:val="both"/>
        <w:rPr>
          <w:rFonts w:cs="Times New Roman"/>
          <w:szCs w:val="28"/>
        </w:rPr>
      </w:pPr>
      <w:r w:rsidRPr="008640F6">
        <w:rPr>
          <w:rFonts w:cs="Times New Roman"/>
          <w:szCs w:val="28"/>
        </w:rPr>
        <w:t>Cũng tại Thông tư 12, Bộ TN&amp;MT yêu cầu viên chức thăng hạng từ chức danh địa chính viên hạng III lên chức danh địa chính viên hạng II phải có thời gian giữ chức danh địa chính viên hạng III hoặc tương đương từ đủ 09 năm trở lên (không kể thời gian tập sự, thử việc); trường hợp có thời gian tương đương với chức danh địa chính viên hạng III thì phải có thời gian giữ chức danh địa chính viên hạng III ít nhất 01 năm tính đến ngày hết thời hạn nộp hồ sơ đăng ký thăng hạng.</w:t>
      </w:r>
    </w:p>
    <w:p w:rsidR="00AD6353" w:rsidRPr="008640F6" w:rsidRDefault="00AD6353" w:rsidP="009D4D6E">
      <w:pPr>
        <w:spacing w:line="360" w:lineRule="auto"/>
        <w:ind w:firstLine="720"/>
        <w:jc w:val="both"/>
        <w:rPr>
          <w:rFonts w:cs="Times New Roman"/>
          <w:szCs w:val="28"/>
        </w:rPr>
      </w:pPr>
      <w:r w:rsidRPr="008640F6">
        <w:rPr>
          <w:rFonts w:cs="Times New Roman"/>
          <w:szCs w:val="28"/>
        </w:rPr>
        <w:t>Thông tư số 12/2022/TT-</w:t>
      </w:r>
      <w:proofErr w:type="gramStart"/>
      <w:r w:rsidRPr="008640F6">
        <w:rPr>
          <w:rFonts w:cs="Times New Roman"/>
          <w:szCs w:val="28"/>
        </w:rPr>
        <w:t>BTNMT  có</w:t>
      </w:r>
      <w:proofErr w:type="gramEnd"/>
      <w:r w:rsidRPr="008640F6">
        <w:rPr>
          <w:rFonts w:cs="Times New Roman"/>
          <w:szCs w:val="28"/>
        </w:rPr>
        <w:t xml:space="preserve"> hiệu lực từ ngày 09/12/2022</w:t>
      </w:r>
    </w:p>
    <w:p w:rsidR="00AD6353" w:rsidRPr="008640F6" w:rsidRDefault="005F7B94" w:rsidP="009D4D6E">
      <w:pPr>
        <w:spacing w:line="360" w:lineRule="auto"/>
        <w:ind w:firstLine="720"/>
        <w:jc w:val="both"/>
        <w:rPr>
          <w:rFonts w:cs="Times New Roman"/>
          <w:b/>
          <w:szCs w:val="28"/>
        </w:rPr>
      </w:pPr>
      <w:r w:rsidRPr="008640F6">
        <w:rPr>
          <w:rFonts w:cs="Times New Roman"/>
          <w:b/>
          <w:szCs w:val="28"/>
        </w:rPr>
        <w:t>5</w:t>
      </w:r>
      <w:r w:rsidR="00F32C29" w:rsidRPr="008640F6">
        <w:rPr>
          <w:rFonts w:cs="Times New Roman"/>
          <w:b/>
          <w:szCs w:val="28"/>
        </w:rPr>
        <w:t xml:space="preserve">. </w:t>
      </w:r>
      <w:r w:rsidR="00AD6353" w:rsidRPr="008640F6">
        <w:rPr>
          <w:rFonts w:cs="Times New Roman"/>
          <w:b/>
          <w:szCs w:val="28"/>
        </w:rPr>
        <w:t>Thông tư số 07/2022/TT-BVHTTDL</w:t>
      </w:r>
      <w:r w:rsidR="00056903" w:rsidRPr="008640F6">
        <w:rPr>
          <w:rFonts w:cs="Times New Roman"/>
          <w:b/>
          <w:szCs w:val="28"/>
        </w:rPr>
        <w:t xml:space="preserve"> ngày 25/10/2022 của Bộ Văn hóa Thể</w:t>
      </w:r>
      <w:r w:rsidR="009D4D6E" w:rsidRPr="008640F6">
        <w:rPr>
          <w:rFonts w:cs="Times New Roman"/>
          <w:b/>
          <w:szCs w:val="28"/>
        </w:rPr>
        <w:t xml:space="preserve"> thao và D</w:t>
      </w:r>
      <w:r w:rsidR="00056903" w:rsidRPr="008640F6">
        <w:rPr>
          <w:rFonts w:cs="Times New Roman"/>
          <w:b/>
          <w:szCs w:val="28"/>
        </w:rPr>
        <w:t>u lịch</w:t>
      </w:r>
      <w:r w:rsidR="00AD6353" w:rsidRPr="008640F6">
        <w:rPr>
          <w:rFonts w:cs="Times New Roman"/>
          <w:b/>
          <w:szCs w:val="28"/>
        </w:rPr>
        <w:t xml:space="preserve"> quy định về mã số, tiêu chuẩn chức danh nghề nghiệp và xếp lương viên chức chuyên ngành thể dục thể</w:t>
      </w:r>
      <w:r w:rsidRPr="008640F6">
        <w:rPr>
          <w:rFonts w:cs="Times New Roman"/>
          <w:b/>
          <w:szCs w:val="28"/>
        </w:rPr>
        <w:t xml:space="preserve"> thao.</w:t>
      </w:r>
    </w:p>
    <w:p w:rsidR="00AD6353" w:rsidRPr="008640F6" w:rsidRDefault="00056903" w:rsidP="009D4D6E">
      <w:pPr>
        <w:spacing w:line="360" w:lineRule="auto"/>
        <w:ind w:firstLine="720"/>
        <w:jc w:val="both"/>
        <w:rPr>
          <w:rFonts w:cs="Times New Roman"/>
          <w:szCs w:val="28"/>
        </w:rPr>
      </w:pPr>
      <w:r w:rsidRPr="008640F6">
        <w:rPr>
          <w:rFonts w:cs="Times New Roman"/>
          <w:szCs w:val="28"/>
        </w:rPr>
        <w:t xml:space="preserve">Theo đó, </w:t>
      </w:r>
      <w:r w:rsidR="00AD6353" w:rsidRPr="008640F6">
        <w:rPr>
          <w:rFonts w:cs="Times New Roman"/>
          <w:szCs w:val="28"/>
        </w:rPr>
        <w:t>không còn yêu cầu viên chức phải có trình độ ngoại ngữ theo bậc tương ứng, khung năng lực ngoại ngữ 6 bậc dùng cho Việt Nam và trình độ tin học đạt chuẩn kỹ năng sử dụng công nghệ thông tin cơ bản.</w:t>
      </w:r>
    </w:p>
    <w:p w:rsidR="00AD6353" w:rsidRPr="008640F6" w:rsidRDefault="00AD6353" w:rsidP="009D4D6E">
      <w:pPr>
        <w:spacing w:line="360" w:lineRule="auto"/>
        <w:ind w:firstLine="720"/>
        <w:jc w:val="both"/>
        <w:rPr>
          <w:rFonts w:cs="Times New Roman"/>
          <w:szCs w:val="28"/>
        </w:rPr>
      </w:pPr>
      <w:r w:rsidRPr="008640F6">
        <w:rPr>
          <w:rFonts w:cs="Times New Roman"/>
          <w:szCs w:val="28"/>
        </w:rPr>
        <w:t>Thay vào đó, viên chức ngành thể dục thể thao phải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AD6353" w:rsidRPr="008640F6" w:rsidRDefault="00AD6353" w:rsidP="009D4D6E">
      <w:pPr>
        <w:spacing w:line="360" w:lineRule="auto"/>
        <w:ind w:firstLine="720"/>
        <w:jc w:val="both"/>
        <w:rPr>
          <w:rFonts w:cs="Times New Roman"/>
          <w:szCs w:val="28"/>
        </w:rPr>
      </w:pPr>
      <w:r w:rsidRPr="008640F6">
        <w:rPr>
          <w:rFonts w:cs="Times New Roman"/>
          <w:szCs w:val="28"/>
        </w:rPr>
        <w:t>Ngoài ra, việc xếp lương của các chức danh nghề nghiệp viên chức chuyên ngành thể dục thể thao được quy định như sau:</w:t>
      </w:r>
    </w:p>
    <w:p w:rsidR="00AD6353" w:rsidRPr="008640F6" w:rsidRDefault="00AD6353" w:rsidP="009D4D6E">
      <w:pPr>
        <w:spacing w:line="360" w:lineRule="auto"/>
        <w:ind w:firstLine="720"/>
        <w:jc w:val="both"/>
        <w:rPr>
          <w:rFonts w:cs="Times New Roman"/>
          <w:szCs w:val="28"/>
        </w:rPr>
      </w:pPr>
      <w:r w:rsidRPr="008640F6">
        <w:rPr>
          <w:rFonts w:cs="Times New Roman"/>
          <w:szCs w:val="28"/>
        </w:rPr>
        <w:t>- Huấn luyện viên cao cấp (hạng I) áp dụng hệ số lương viên chức loại A3, nhóm 1, từ hệ số lương 6</w:t>
      </w:r>
      <w:proofErr w:type="gramStart"/>
      <w:r w:rsidRPr="008640F6">
        <w:rPr>
          <w:rFonts w:cs="Times New Roman"/>
          <w:szCs w:val="28"/>
        </w:rPr>
        <w:t>,2</w:t>
      </w:r>
      <w:proofErr w:type="gramEnd"/>
      <w:r w:rsidRPr="008640F6">
        <w:rPr>
          <w:rFonts w:cs="Times New Roman"/>
          <w:szCs w:val="28"/>
        </w:rPr>
        <w:t xml:space="preserve"> - 8,0.</w:t>
      </w:r>
    </w:p>
    <w:p w:rsidR="00AD6353" w:rsidRPr="008640F6" w:rsidRDefault="00AD6353" w:rsidP="009D4D6E">
      <w:pPr>
        <w:spacing w:line="360" w:lineRule="auto"/>
        <w:ind w:firstLine="720"/>
        <w:jc w:val="both"/>
        <w:rPr>
          <w:rFonts w:cs="Times New Roman"/>
          <w:szCs w:val="28"/>
        </w:rPr>
      </w:pPr>
      <w:r w:rsidRPr="008640F6">
        <w:rPr>
          <w:rFonts w:cs="Times New Roman"/>
          <w:szCs w:val="28"/>
        </w:rPr>
        <w:t>- Huấn luyện viên chính (hạng II) áp dụng hệ số lương viên chức loại A2, nhóm 1, từ hệ số lương 4</w:t>
      </w:r>
      <w:proofErr w:type="gramStart"/>
      <w:r w:rsidRPr="008640F6">
        <w:rPr>
          <w:rFonts w:cs="Times New Roman"/>
          <w:szCs w:val="28"/>
        </w:rPr>
        <w:t>,4</w:t>
      </w:r>
      <w:proofErr w:type="gramEnd"/>
      <w:r w:rsidRPr="008640F6">
        <w:rPr>
          <w:rFonts w:cs="Times New Roman"/>
          <w:szCs w:val="28"/>
        </w:rPr>
        <w:t xml:space="preserve"> - 6,78.</w:t>
      </w:r>
    </w:p>
    <w:p w:rsidR="00AD6353" w:rsidRPr="008640F6" w:rsidRDefault="00AD6353" w:rsidP="009D4D6E">
      <w:pPr>
        <w:spacing w:line="360" w:lineRule="auto"/>
        <w:ind w:firstLine="720"/>
        <w:jc w:val="both"/>
        <w:rPr>
          <w:rFonts w:cs="Times New Roman"/>
          <w:szCs w:val="28"/>
        </w:rPr>
      </w:pPr>
      <w:r w:rsidRPr="008640F6">
        <w:rPr>
          <w:rFonts w:cs="Times New Roman"/>
          <w:szCs w:val="28"/>
        </w:rPr>
        <w:t>- Huấn luyện viên (hạng III) áp dụng hệ số lương viên chức loại A1, từ hệ số lương 2</w:t>
      </w:r>
      <w:proofErr w:type="gramStart"/>
      <w:r w:rsidRPr="008640F6">
        <w:rPr>
          <w:rFonts w:cs="Times New Roman"/>
          <w:szCs w:val="28"/>
        </w:rPr>
        <w:t>,34</w:t>
      </w:r>
      <w:proofErr w:type="gramEnd"/>
      <w:r w:rsidRPr="008640F6">
        <w:rPr>
          <w:rFonts w:cs="Times New Roman"/>
          <w:szCs w:val="28"/>
        </w:rPr>
        <w:t xml:space="preserve"> - 4,98.</w:t>
      </w:r>
    </w:p>
    <w:p w:rsidR="00AD6353" w:rsidRPr="008640F6" w:rsidRDefault="00AD6353" w:rsidP="009D4D6E">
      <w:pPr>
        <w:spacing w:line="360" w:lineRule="auto"/>
        <w:ind w:firstLine="720"/>
        <w:jc w:val="both"/>
        <w:rPr>
          <w:rFonts w:cs="Times New Roman"/>
          <w:szCs w:val="28"/>
        </w:rPr>
      </w:pPr>
      <w:r w:rsidRPr="008640F6">
        <w:rPr>
          <w:rFonts w:cs="Times New Roman"/>
          <w:szCs w:val="28"/>
        </w:rPr>
        <w:t>- Hướng dẫn viên (hạng IV) áp dụng hệ số lương viên chức loại B, từ hệ số lương 1</w:t>
      </w:r>
      <w:proofErr w:type="gramStart"/>
      <w:r w:rsidRPr="008640F6">
        <w:rPr>
          <w:rFonts w:cs="Times New Roman"/>
          <w:szCs w:val="28"/>
        </w:rPr>
        <w:t>,86</w:t>
      </w:r>
      <w:proofErr w:type="gramEnd"/>
      <w:r w:rsidRPr="008640F6">
        <w:rPr>
          <w:rFonts w:cs="Times New Roman"/>
          <w:szCs w:val="28"/>
        </w:rPr>
        <w:t xml:space="preserve"> - 4,06.</w:t>
      </w:r>
    </w:p>
    <w:p w:rsidR="003C7CA6" w:rsidRPr="008640F6" w:rsidRDefault="00AD6353" w:rsidP="009D4D6E">
      <w:pPr>
        <w:spacing w:line="360" w:lineRule="auto"/>
        <w:ind w:firstLine="567"/>
        <w:jc w:val="both"/>
        <w:rPr>
          <w:rFonts w:cs="Times New Roman"/>
          <w:szCs w:val="28"/>
        </w:rPr>
      </w:pPr>
      <w:r w:rsidRPr="008640F6">
        <w:rPr>
          <w:rFonts w:cs="Times New Roman"/>
          <w:szCs w:val="28"/>
        </w:rPr>
        <w:t>Thông tư</w:t>
      </w:r>
      <w:r w:rsidR="00056903" w:rsidRPr="008640F6">
        <w:rPr>
          <w:rFonts w:cs="Times New Roman"/>
          <w:szCs w:val="28"/>
        </w:rPr>
        <w:t xml:space="preserve"> số</w:t>
      </w:r>
      <w:r w:rsidRPr="008640F6">
        <w:rPr>
          <w:rFonts w:cs="Times New Roman"/>
          <w:szCs w:val="28"/>
        </w:rPr>
        <w:t xml:space="preserve"> 07/2022/TT-BVHTTDL có hiệu lực từ ngày 10-12-2022.</w:t>
      </w:r>
    </w:p>
    <w:p w:rsidR="003C7CA6" w:rsidRPr="008640F6" w:rsidRDefault="005F7B94" w:rsidP="009D4D6E">
      <w:pPr>
        <w:pStyle w:val="NormalWeb"/>
        <w:shd w:val="clear" w:color="auto" w:fill="FFFFFF"/>
        <w:spacing w:before="0" w:beforeAutospacing="0" w:after="0" w:afterAutospacing="0" w:line="360" w:lineRule="auto"/>
        <w:ind w:firstLine="567"/>
        <w:jc w:val="both"/>
        <w:rPr>
          <w:b/>
          <w:sz w:val="28"/>
          <w:szCs w:val="28"/>
          <w:shd w:val="clear" w:color="auto" w:fill="FDFDFD"/>
        </w:rPr>
      </w:pPr>
      <w:r w:rsidRPr="008640F6">
        <w:rPr>
          <w:b/>
          <w:sz w:val="28"/>
          <w:szCs w:val="28"/>
          <w:shd w:val="clear" w:color="auto" w:fill="FDFDFD"/>
        </w:rPr>
        <w:lastRenderedPageBreak/>
        <w:t>6</w:t>
      </w:r>
      <w:r w:rsidR="005834BE" w:rsidRPr="008640F6">
        <w:rPr>
          <w:b/>
          <w:sz w:val="28"/>
          <w:szCs w:val="28"/>
          <w:shd w:val="clear" w:color="auto" w:fill="FDFDFD"/>
        </w:rPr>
        <w:t>.</w:t>
      </w:r>
      <w:r w:rsidR="003C7CA6" w:rsidRPr="008640F6">
        <w:rPr>
          <w:b/>
          <w:sz w:val="28"/>
          <w:szCs w:val="28"/>
          <w:shd w:val="clear" w:color="auto" w:fill="FDFDFD"/>
        </w:rPr>
        <w:t>Thông tư số 14/2022 ngày 28/10/2022 của Bộ Thông tin và Truyền thông quy định về danh mục, chất lượng dịch vụ viễn thông công ích và hướng dẫn thực hiện Chương trình cung cấp dịch vụ viễn thông công ích đến năm 2025 </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Theo đó, tại Mục 2 (Hỗ trợ điện thoại thông minh) Chương IV của Thông tư có quy định đối tượng được hỗ trợ trang bị điện thoại thông minh là hộ nghèo, hộ cận nghèo.</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Theo đó, những hộ được hỗ trợ điện thoại thông minh gồm: Hộ gia đình chưa được hỗ trợ máy tính bảng từ Chương trình hoặc thiết bị học tập trực tuyến thuộc Chương trình “Sóng và máy tính cho em” (tính đến thời điểm Bộ Thông tin và Truyền thông phân bổ số lượng điện thoại thông minh cho các địa phương); Hộ gia đình có nhu cầu hỗ trợ và được cấp có thẩm quyền phê duyệt danh sách nhận hỗ trợ.</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Có 2 hình thức hỗ trợ gồm:</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 Hỗ trợ trang bị điện thoại thông minh kết hợp với hỗ trợ sử dụng dịch vụ viễn thông di động mặt đất cho hộ gia đình (sau đây gọi tắt là gói dịch vụ hỗ trợ kết hợp).</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 Hỗ trợ bằng tiền (nếu hộ gia đình thuộc danh sách được hỗ trợ đã tự mua điện thoại thông minh kể từ ngày 12/12/2022). Mức hỗ trợ là 500.000 đồng/hộ.</w:t>
      </w:r>
    </w:p>
    <w:p w:rsidR="003C7CA6" w:rsidRPr="008640F6" w:rsidRDefault="003C7CA6" w:rsidP="009D4D6E">
      <w:pPr>
        <w:pStyle w:val="NormalWeb"/>
        <w:shd w:val="clear" w:color="auto" w:fill="FDFDFD"/>
        <w:spacing w:before="0" w:beforeAutospacing="0" w:after="0" w:afterAutospacing="0" w:line="360" w:lineRule="auto"/>
        <w:ind w:firstLine="567"/>
        <w:jc w:val="both"/>
        <w:rPr>
          <w:sz w:val="28"/>
          <w:szCs w:val="28"/>
        </w:rPr>
      </w:pPr>
      <w:r w:rsidRPr="008640F6">
        <w:rPr>
          <w:sz w:val="28"/>
          <w:szCs w:val="28"/>
        </w:rPr>
        <w:t>Nếu hộ gia đình mua điện thoại thông minh trên thị trường (trường hợp hộ gia đình nhận hỗ trợ bằng tiền) hoặc mua điện thoại thông minh thông qua gói dịch vụ kết hợp của doanh nghiệp có giá cao hơn mức hỗ trợ từ Chương trình, hộ gia đình tự bổ sung số kinh phí tăng thêm.</w:t>
      </w:r>
    </w:p>
    <w:p w:rsidR="003C7CA6" w:rsidRPr="008640F6" w:rsidRDefault="003C7CA6" w:rsidP="009D4D6E">
      <w:pPr>
        <w:pStyle w:val="NormalWeb"/>
        <w:shd w:val="clear" w:color="auto" w:fill="FDFDFD"/>
        <w:spacing w:before="0" w:beforeAutospacing="0" w:after="0" w:afterAutospacing="0" w:line="360" w:lineRule="auto"/>
        <w:jc w:val="both"/>
        <w:rPr>
          <w:sz w:val="28"/>
          <w:szCs w:val="28"/>
        </w:rPr>
      </w:pPr>
      <w:r w:rsidRPr="008640F6">
        <w:rPr>
          <w:sz w:val="28"/>
          <w:szCs w:val="28"/>
        </w:rPr>
        <w:tab/>
        <w:t>Thông tư số có hiệu lực thi hành vào ngày 12/12/2022</w:t>
      </w:r>
    </w:p>
    <w:bookmarkEnd w:id="0"/>
    <w:p w:rsidR="00573D42" w:rsidRPr="008640F6" w:rsidRDefault="005F7B94" w:rsidP="009D4D6E">
      <w:pPr>
        <w:pStyle w:val="NormalWeb"/>
        <w:shd w:val="clear" w:color="auto" w:fill="FFFFFF"/>
        <w:spacing w:before="0" w:beforeAutospacing="0" w:after="0" w:afterAutospacing="0" w:line="360" w:lineRule="auto"/>
        <w:ind w:firstLine="567"/>
        <w:jc w:val="both"/>
        <w:rPr>
          <w:b/>
          <w:sz w:val="28"/>
          <w:szCs w:val="28"/>
          <w:shd w:val="clear" w:color="auto" w:fill="FFFFFF"/>
        </w:rPr>
      </w:pPr>
      <w:r w:rsidRPr="008640F6">
        <w:rPr>
          <w:b/>
          <w:sz w:val="28"/>
          <w:szCs w:val="28"/>
        </w:rPr>
        <w:t>7</w:t>
      </w:r>
      <w:r w:rsidR="00AA6243" w:rsidRPr="008640F6">
        <w:rPr>
          <w:b/>
          <w:sz w:val="28"/>
          <w:szCs w:val="28"/>
        </w:rPr>
        <w:t xml:space="preserve">. </w:t>
      </w:r>
      <w:r w:rsidR="00030EF7" w:rsidRPr="008640F6">
        <w:rPr>
          <w:b/>
          <w:sz w:val="28"/>
          <w:szCs w:val="28"/>
        </w:rPr>
        <w:t>Thông tư</w:t>
      </w:r>
      <w:proofErr w:type="gramStart"/>
      <w:r w:rsidR="00030EF7" w:rsidRPr="008640F6">
        <w:rPr>
          <w:b/>
          <w:sz w:val="28"/>
          <w:szCs w:val="28"/>
        </w:rPr>
        <w:t> </w:t>
      </w:r>
      <w:r w:rsidR="00434DF8" w:rsidRPr="008640F6">
        <w:rPr>
          <w:b/>
          <w:sz w:val="28"/>
          <w:szCs w:val="28"/>
        </w:rPr>
        <w:t xml:space="preserve"> số</w:t>
      </w:r>
      <w:proofErr w:type="gramEnd"/>
      <w:r w:rsidR="00434DF8" w:rsidRPr="008640F6">
        <w:rPr>
          <w:b/>
          <w:sz w:val="28"/>
          <w:szCs w:val="28"/>
        </w:rPr>
        <w:t xml:space="preserve"> </w:t>
      </w:r>
      <w:hyperlink r:id="rId10" w:history="1">
        <w:r w:rsidR="00573D42" w:rsidRPr="008640F6">
          <w:rPr>
            <w:rStyle w:val="Hyperlink"/>
            <w:b/>
            <w:color w:val="auto"/>
            <w:sz w:val="28"/>
            <w:szCs w:val="28"/>
            <w:u w:val="none"/>
          </w:rPr>
          <w:t>15/2022/TT-BGDĐT</w:t>
        </w:r>
      </w:hyperlink>
      <w:r w:rsidR="00030EF7" w:rsidRPr="008640F6">
        <w:rPr>
          <w:b/>
          <w:sz w:val="28"/>
          <w:szCs w:val="28"/>
        </w:rPr>
        <w:t xml:space="preserve"> </w:t>
      </w:r>
      <w:r w:rsidR="00030EF7" w:rsidRPr="008640F6">
        <w:rPr>
          <w:b/>
          <w:sz w:val="28"/>
          <w:szCs w:val="28"/>
          <w:shd w:val="clear" w:color="auto" w:fill="FFFFFF"/>
        </w:rPr>
        <w:t xml:space="preserve">ngày </w:t>
      </w:r>
      <w:r w:rsidR="00573D42" w:rsidRPr="008640F6">
        <w:rPr>
          <w:b/>
          <w:sz w:val="28"/>
          <w:szCs w:val="28"/>
          <w:shd w:val="clear" w:color="auto" w:fill="FFFFFF"/>
        </w:rPr>
        <w:t>08/11</w:t>
      </w:r>
      <w:r w:rsidR="00AA6243" w:rsidRPr="008640F6">
        <w:rPr>
          <w:b/>
          <w:sz w:val="28"/>
          <w:szCs w:val="28"/>
          <w:shd w:val="clear" w:color="auto" w:fill="FFFFFF"/>
        </w:rPr>
        <w:t xml:space="preserve">/2022 của </w:t>
      </w:r>
      <w:r w:rsidR="00030EF7" w:rsidRPr="008640F6">
        <w:rPr>
          <w:b/>
          <w:sz w:val="28"/>
          <w:szCs w:val="28"/>
          <w:shd w:val="clear" w:color="auto" w:fill="FFFFFF"/>
        </w:rPr>
        <w:t xml:space="preserve">Bộ </w:t>
      </w:r>
      <w:r w:rsidR="00573D42" w:rsidRPr="008640F6">
        <w:rPr>
          <w:b/>
          <w:sz w:val="28"/>
          <w:szCs w:val="28"/>
          <w:shd w:val="clear" w:color="auto" w:fill="FFFFFF"/>
        </w:rPr>
        <w:t>G</w:t>
      </w:r>
      <w:r w:rsidR="009D4D6E" w:rsidRPr="008640F6">
        <w:rPr>
          <w:b/>
          <w:sz w:val="28"/>
          <w:szCs w:val="28"/>
          <w:shd w:val="clear" w:color="auto" w:fill="FFFFFF"/>
        </w:rPr>
        <w:t>iáo dục và Đ</w:t>
      </w:r>
      <w:r w:rsidR="00573D42" w:rsidRPr="008640F6">
        <w:rPr>
          <w:b/>
          <w:sz w:val="28"/>
          <w:szCs w:val="28"/>
          <w:shd w:val="clear" w:color="auto" w:fill="FFFFFF"/>
        </w:rPr>
        <w:t>ào tạo</w:t>
      </w:r>
      <w:r w:rsidR="00AA6243" w:rsidRPr="008640F6">
        <w:rPr>
          <w:b/>
          <w:sz w:val="28"/>
          <w:szCs w:val="28"/>
          <w:shd w:val="clear" w:color="auto" w:fill="FFFFFF"/>
        </w:rPr>
        <w:t xml:space="preserve"> </w:t>
      </w:r>
      <w:r w:rsidR="00573D42" w:rsidRPr="008640F6">
        <w:rPr>
          <w:b/>
          <w:sz w:val="28"/>
          <w:szCs w:val="28"/>
          <w:shd w:val="clear" w:color="auto" w:fill="FFFFFF"/>
        </w:rPr>
        <w:t>quy định việc giảng dạy khối lượng kiến thức văn hóa trung học phổ thông trong cơ sở giáo dục nghề nghiệp</w:t>
      </w:r>
    </w:p>
    <w:p w:rsidR="00573D42"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Cụ thể, khối lượng kiến thức văn hóa trung học phổ thông trong các cơ sở giáo dục nghề nghiệp gồm:</w:t>
      </w:r>
    </w:p>
    <w:p w:rsidR="00573D42"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 Môn học bắt buộc: Toán, Ngữ Văn, Lịch sử</w:t>
      </w:r>
    </w:p>
    <w:p w:rsidR="00573D42"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lastRenderedPageBreak/>
        <w:t>- Môn học lựa chọn: Vật lí, Hóa học, Sinh học, Địa lí.</w:t>
      </w:r>
    </w:p>
    <w:p w:rsidR="009D4D6E"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Trong đó, thời lượng giảng dạy của các môn học như sau:</w:t>
      </w:r>
    </w:p>
    <w:p w:rsidR="009D4D6E"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 Toán, Ngữ văn: 252 tiết/môn học.</w:t>
      </w:r>
    </w:p>
    <w:p w:rsidR="00573D42"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 Vật lí, Hóa học, Sinh học, Địa lí, Lịch sử: 168 tiết/môn học.</w:t>
      </w:r>
    </w:p>
    <w:p w:rsidR="00573D42" w:rsidRPr="008640F6" w:rsidRDefault="00573D42" w:rsidP="009D4D6E">
      <w:pPr>
        <w:spacing w:line="360" w:lineRule="auto"/>
        <w:ind w:firstLine="567"/>
        <w:jc w:val="both"/>
        <w:rPr>
          <w:rFonts w:eastAsia="Times New Roman" w:cs="Times New Roman"/>
          <w:szCs w:val="28"/>
        </w:rPr>
      </w:pPr>
      <w:r w:rsidRPr="008640F6">
        <w:rPr>
          <w:rFonts w:eastAsia="Times New Roman" w:cs="Times New Roman"/>
          <w:szCs w:val="28"/>
        </w:rPr>
        <w:t>Sau những ồn ào liên quan đến việc để môn lịch sử trở thành môn học tự chọn, sau khi  tiếp thu các ý kiến khác nhau, cuối cùng Bộ Giáo dục và Đào tạo cũng đưa môn này về đúng với giá trị của nó. Không chỉ các cơ sở giáo dục phổ thông mà cả các cơ sở giáo dục nghề nghiệp cũng phải thiết kể chương trình học với môn lịch sử là môn bắt buộc đối với học sinh và người học.</w:t>
      </w:r>
    </w:p>
    <w:p w:rsidR="00573D42" w:rsidRPr="008640F6" w:rsidRDefault="00573D42" w:rsidP="009D4D6E">
      <w:pPr>
        <w:pStyle w:val="NormalWeb"/>
        <w:spacing w:before="0" w:beforeAutospacing="0" w:after="0" w:afterAutospacing="0" w:line="360" w:lineRule="auto"/>
        <w:ind w:firstLine="567"/>
        <w:jc w:val="both"/>
        <w:rPr>
          <w:sz w:val="28"/>
          <w:szCs w:val="28"/>
        </w:rPr>
      </w:pPr>
      <w:r w:rsidRPr="008640F6">
        <w:rPr>
          <w:sz w:val="28"/>
          <w:szCs w:val="28"/>
        </w:rPr>
        <w:t>Thông tư này có hiệu lực kể từ ngày 24/12/2022.  </w:t>
      </w:r>
    </w:p>
    <w:p w:rsidR="005834BE" w:rsidRPr="008640F6" w:rsidRDefault="005F7B94" w:rsidP="009D4D6E">
      <w:pPr>
        <w:pStyle w:val="NormalWeb"/>
        <w:shd w:val="clear" w:color="auto" w:fill="FFFFFF"/>
        <w:spacing w:before="0" w:beforeAutospacing="0" w:after="0" w:afterAutospacing="0" w:line="360" w:lineRule="auto"/>
        <w:ind w:firstLine="567"/>
        <w:jc w:val="both"/>
        <w:rPr>
          <w:b/>
          <w:sz w:val="28"/>
          <w:szCs w:val="28"/>
          <w:shd w:val="clear" w:color="auto" w:fill="FFFFFF"/>
        </w:rPr>
      </w:pPr>
      <w:r w:rsidRPr="008640F6">
        <w:rPr>
          <w:b/>
          <w:bCs/>
          <w:sz w:val="28"/>
          <w:szCs w:val="28"/>
        </w:rPr>
        <w:t>8</w:t>
      </w:r>
      <w:r w:rsidR="005834BE" w:rsidRPr="008640F6">
        <w:rPr>
          <w:b/>
          <w:bCs/>
          <w:sz w:val="28"/>
          <w:szCs w:val="28"/>
        </w:rPr>
        <w:t>.</w:t>
      </w:r>
      <w:bookmarkStart w:id="1" w:name="loai_1_name"/>
      <w:r w:rsidR="005834BE" w:rsidRPr="008640F6">
        <w:rPr>
          <w:b/>
          <w:bCs/>
          <w:sz w:val="28"/>
          <w:szCs w:val="28"/>
        </w:rPr>
        <w:t xml:space="preserve"> </w:t>
      </w:r>
      <w:r w:rsidR="005834BE" w:rsidRPr="008640F6">
        <w:rPr>
          <w:b/>
          <w:sz w:val="28"/>
          <w:szCs w:val="28"/>
        </w:rPr>
        <w:t xml:space="preserve">Thông tư số </w:t>
      </w:r>
      <w:hyperlink r:id="rId11" w:history="1">
        <w:r w:rsidR="005834BE" w:rsidRPr="008640F6">
          <w:rPr>
            <w:rStyle w:val="Hyperlink"/>
            <w:b/>
            <w:color w:val="auto"/>
            <w:sz w:val="28"/>
            <w:szCs w:val="28"/>
            <w:u w:val="none"/>
          </w:rPr>
          <w:t>08/2022/TT-BTP</w:t>
        </w:r>
      </w:hyperlink>
      <w:r w:rsidR="005834BE" w:rsidRPr="008640F6">
        <w:rPr>
          <w:b/>
          <w:sz w:val="28"/>
          <w:szCs w:val="28"/>
        </w:rPr>
        <w:t xml:space="preserve"> </w:t>
      </w:r>
      <w:r w:rsidR="005834BE" w:rsidRPr="008640F6">
        <w:rPr>
          <w:b/>
          <w:bCs/>
          <w:sz w:val="28"/>
          <w:szCs w:val="28"/>
        </w:rPr>
        <w:t>ngày 01/11/2022 của Bộ T</w:t>
      </w:r>
      <w:bookmarkEnd w:id="1"/>
      <w:r w:rsidR="005834BE" w:rsidRPr="008640F6">
        <w:rPr>
          <w:b/>
          <w:bCs/>
          <w:sz w:val="28"/>
          <w:szCs w:val="28"/>
        </w:rPr>
        <w:t>ư pháp</w:t>
      </w:r>
      <w:r w:rsidR="005834BE" w:rsidRPr="008640F6">
        <w:rPr>
          <w:b/>
          <w:sz w:val="28"/>
          <w:szCs w:val="28"/>
          <w:shd w:val="clear" w:color="auto" w:fill="FFFFFF"/>
          <w:lang w:val="vi-VN"/>
        </w:rPr>
        <w:t xml:space="preserve"> ban hành quy tắc đạo đức nghề nghiệp thừa phát lại</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xml:space="preserve">Theo đó, thừa phát lại bị cấm thực hiện một số hành </w:t>
      </w:r>
      <w:proofErr w:type="gramStart"/>
      <w:r w:rsidRPr="008640F6">
        <w:rPr>
          <w:sz w:val="28"/>
          <w:szCs w:val="28"/>
        </w:rPr>
        <w:t>vi</w:t>
      </w:r>
      <w:proofErr w:type="gramEnd"/>
      <w:r w:rsidRPr="008640F6">
        <w:rPr>
          <w:sz w:val="28"/>
          <w:szCs w:val="28"/>
        </w:rPr>
        <w:t xml:space="preserve"> với người yêu cầu như:</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Sách nhiễu, gây khó khăn, phiền hà cho người yêu cầu.</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Nhận, đòi hỏi thêm bất kỳ một khoản tiền, lợi ích nào khác từ người yêu cầu ngoài chi phí đã được ghi nhận trong hợp đồng.</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Nhận tiền hoặc bất kỳ lợi ích nào khác từ người thứ ba để thực hiện hoặc không thực hiện yêu cầu.</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Lập vi bằng, xác minh điều kiện thi hành án dân sự, tổ chức thi hành các bản án, quyết định của Tòa án có liên quan đến quyền, lợi ích của chính mình với người yêu cầu, những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bác, chú, cậu, cô, dì.</w:t>
      </w:r>
    </w:p>
    <w:p w:rsidR="005834BE"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 Gây áp lực, ép buộc, lừa dối, đe dọa, chiết khấu hoặc đưa ra hứa hẹn nhằm lôi kéo người yêu cầu phải sử dụng dịch vụ...</w:t>
      </w:r>
    </w:p>
    <w:p w:rsidR="00726468" w:rsidRPr="008640F6" w:rsidRDefault="005834BE" w:rsidP="009D4D6E">
      <w:pPr>
        <w:pStyle w:val="NormalWeb"/>
        <w:spacing w:before="0" w:beforeAutospacing="0" w:after="0" w:afterAutospacing="0" w:line="360" w:lineRule="auto"/>
        <w:ind w:firstLine="567"/>
        <w:jc w:val="both"/>
        <w:rPr>
          <w:sz w:val="28"/>
          <w:szCs w:val="28"/>
        </w:rPr>
      </w:pPr>
      <w:r w:rsidRPr="008640F6">
        <w:rPr>
          <w:sz w:val="28"/>
          <w:szCs w:val="28"/>
        </w:rPr>
        <w:t>Thông tư này có hiệu lực kể từ ngày 22/12/2022.  </w:t>
      </w:r>
    </w:p>
    <w:p w:rsidR="009D4D6E" w:rsidRPr="008640F6" w:rsidRDefault="005F7B94" w:rsidP="009D4D6E">
      <w:pPr>
        <w:pStyle w:val="NormalWeb"/>
        <w:shd w:val="clear" w:color="auto" w:fill="FFFFFF"/>
        <w:spacing w:before="0" w:beforeAutospacing="0" w:after="0" w:afterAutospacing="0" w:line="360" w:lineRule="auto"/>
        <w:ind w:firstLine="567"/>
        <w:jc w:val="both"/>
        <w:rPr>
          <w:b/>
          <w:sz w:val="28"/>
          <w:szCs w:val="28"/>
          <w:shd w:val="clear" w:color="auto" w:fill="FFFFFF"/>
        </w:rPr>
      </w:pPr>
      <w:r w:rsidRPr="008640F6">
        <w:rPr>
          <w:b/>
          <w:sz w:val="28"/>
          <w:szCs w:val="28"/>
          <w:shd w:val="clear" w:color="auto" w:fill="FFFFFF"/>
        </w:rPr>
        <w:lastRenderedPageBreak/>
        <w:t>9.</w:t>
      </w:r>
      <w:r w:rsidR="009D4D6E" w:rsidRPr="008640F6">
        <w:rPr>
          <w:b/>
          <w:sz w:val="28"/>
          <w:szCs w:val="28"/>
          <w:shd w:val="clear" w:color="auto" w:fill="FFFFFF"/>
        </w:rPr>
        <w:t xml:space="preserve"> </w:t>
      </w:r>
      <w:r w:rsidR="005834BE" w:rsidRPr="008640F6">
        <w:rPr>
          <w:b/>
          <w:sz w:val="28"/>
          <w:szCs w:val="28"/>
          <w:shd w:val="clear" w:color="auto" w:fill="FFFFFF"/>
        </w:rPr>
        <w:t>Bên cạnh các văn bản có hiệu lực như đã</w:t>
      </w:r>
      <w:r w:rsidR="009D4D6E" w:rsidRPr="008640F6">
        <w:rPr>
          <w:b/>
          <w:sz w:val="28"/>
          <w:szCs w:val="28"/>
          <w:shd w:val="clear" w:color="auto" w:fill="FFFFFF"/>
        </w:rPr>
        <w:t xml:space="preserve"> nêu ở trên, từ ngày 31/12/2022, Nghị quyết số </w:t>
      </w:r>
      <w:r w:rsidR="005834BE" w:rsidRPr="008640F6">
        <w:rPr>
          <w:b/>
          <w:sz w:val="28"/>
          <w:szCs w:val="28"/>
          <w:shd w:val="clear" w:color="auto" w:fill="FFFFFF"/>
        </w:rPr>
        <w:t xml:space="preserve">20/2022/UBTVQH15 </w:t>
      </w:r>
      <w:r w:rsidRPr="008640F6">
        <w:rPr>
          <w:b/>
          <w:sz w:val="28"/>
          <w:szCs w:val="28"/>
          <w:shd w:val="clear" w:color="auto" w:fill="FFFFFF"/>
          <w:lang w:val="vi-VN"/>
        </w:rPr>
        <w:t xml:space="preserve">về mức thuế bảo vệ môi trường đối với xăng, dầu, mỡ nhờn </w:t>
      </w:r>
      <w:r w:rsidRPr="008640F6">
        <w:rPr>
          <w:b/>
          <w:sz w:val="28"/>
          <w:szCs w:val="28"/>
          <w:shd w:val="clear" w:color="auto" w:fill="FFFFFF"/>
        </w:rPr>
        <w:t>sẽ hết hiệu lực</w:t>
      </w:r>
      <w:r w:rsidR="009D4D6E" w:rsidRPr="008640F6">
        <w:rPr>
          <w:b/>
          <w:sz w:val="28"/>
          <w:szCs w:val="28"/>
          <w:shd w:val="clear" w:color="auto" w:fill="FFFFFF"/>
        </w:rPr>
        <w:t>.</w:t>
      </w:r>
    </w:p>
    <w:p w:rsidR="005834BE" w:rsidRPr="008640F6" w:rsidRDefault="009D4D6E" w:rsidP="009D4D6E">
      <w:pPr>
        <w:spacing w:line="360" w:lineRule="auto"/>
        <w:jc w:val="both"/>
        <w:rPr>
          <w:szCs w:val="28"/>
        </w:rPr>
      </w:pPr>
      <w:r w:rsidRPr="008640F6">
        <w:t xml:space="preserve">        </w:t>
      </w:r>
      <w:r w:rsidR="005834BE" w:rsidRPr="008640F6">
        <w:t>Được thông qua ngày 06/7/2022, Nghị quyết số </w:t>
      </w:r>
      <w:hyperlink r:id="rId12" w:history="1">
        <w:r w:rsidR="005834BE" w:rsidRPr="008640F6">
          <w:t>20/2022/UBTVQH15</w:t>
        </w:r>
      </w:hyperlink>
      <w:r w:rsidR="005834BE" w:rsidRPr="008640F6">
        <w:t> đã đưa mức thuế bảo vệ môi trường, giá đối với xăng, dầu chạm “đáy” với mức thuế sau</w:t>
      </w:r>
      <w:r w:rsidR="005834BE" w:rsidRPr="008640F6">
        <w:rPr>
          <w:szCs w:val="28"/>
        </w:rPr>
        <w:t>:</w:t>
      </w:r>
    </w:p>
    <w:p w:rsidR="009D4D6E" w:rsidRPr="008640F6" w:rsidRDefault="009D4D6E" w:rsidP="009D4D6E">
      <w:pPr>
        <w:pStyle w:val="NoSpacing"/>
        <w:rPr>
          <w:b/>
          <w:szCs w:val="28"/>
          <w:shd w:val="clear" w:color="auto" w:fill="FFFFFF"/>
        </w:rPr>
      </w:pPr>
    </w:p>
    <w:tbl>
      <w:tblPr>
        <w:tblW w:w="5000" w:type="pct"/>
        <w:jc w:val="center"/>
        <w:tblCellMar>
          <w:left w:w="0" w:type="dxa"/>
          <w:right w:w="0" w:type="dxa"/>
        </w:tblCellMar>
        <w:tblLook w:val="04A0" w:firstRow="1" w:lastRow="0" w:firstColumn="1" w:lastColumn="0" w:noHBand="0" w:noVBand="1"/>
      </w:tblPr>
      <w:tblGrid>
        <w:gridCol w:w="833"/>
        <w:gridCol w:w="2599"/>
        <w:gridCol w:w="1372"/>
        <w:gridCol w:w="4248"/>
      </w:tblGrid>
      <w:tr w:rsidR="008640F6" w:rsidRPr="008640F6" w:rsidTr="009D59AE">
        <w:trPr>
          <w:trHeight w:val="15"/>
          <w:jc w:val="center"/>
        </w:trPr>
        <w:tc>
          <w:tcPr>
            <w:tcW w:w="8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rStyle w:val="Strong"/>
                <w:sz w:val="28"/>
                <w:szCs w:val="28"/>
              </w:rPr>
              <w:t>TT</w:t>
            </w:r>
          </w:p>
        </w:tc>
        <w:tc>
          <w:tcPr>
            <w:tcW w:w="2618" w:type="dxa"/>
            <w:tcBorders>
              <w:top w:val="single" w:sz="8" w:space="0" w:color="auto"/>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rStyle w:val="Strong"/>
                <w:sz w:val="28"/>
                <w:szCs w:val="28"/>
              </w:rPr>
              <w:t>Hàng hóa</w:t>
            </w:r>
          </w:p>
        </w:tc>
        <w:tc>
          <w:tcPr>
            <w:tcW w:w="1384" w:type="dxa"/>
            <w:tcBorders>
              <w:top w:val="single" w:sz="8" w:space="0" w:color="auto"/>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rStyle w:val="Strong"/>
                <w:sz w:val="28"/>
                <w:szCs w:val="28"/>
              </w:rPr>
              <w:t>Đơn vị tính</w:t>
            </w:r>
          </w:p>
        </w:tc>
        <w:tc>
          <w:tcPr>
            <w:tcW w:w="4290" w:type="dxa"/>
            <w:tcBorders>
              <w:top w:val="single" w:sz="8" w:space="0" w:color="auto"/>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rStyle w:val="Strong"/>
                <w:sz w:val="28"/>
                <w:szCs w:val="28"/>
              </w:rPr>
              <w:t>Mức thuế (đồng/đơn vị hàng hóa)</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1</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Xăng, trừ etanol</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1.000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2</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Nhiên liệu bay</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1.000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3</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Dau diesel</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500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4</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Dầu hỏa</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300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5</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Dầu mazut</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300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6</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Dầu nhờn</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lít</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300</w:t>
            </w:r>
          </w:p>
        </w:tc>
      </w:tr>
      <w:tr w:rsidR="008640F6" w:rsidRPr="008640F6" w:rsidTr="009D59AE">
        <w:trPr>
          <w:trHeight w:val="15"/>
          <w:jc w:val="center"/>
        </w:trPr>
        <w:tc>
          <w:tcPr>
            <w:tcW w:w="838" w:type="dxa"/>
            <w:tcBorders>
              <w:top w:val="nil"/>
              <w:left w:val="single" w:sz="8" w:space="0" w:color="auto"/>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7</w:t>
            </w:r>
          </w:p>
        </w:tc>
        <w:tc>
          <w:tcPr>
            <w:tcW w:w="2618"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Mỡ nhờn</w:t>
            </w:r>
          </w:p>
        </w:tc>
        <w:tc>
          <w:tcPr>
            <w:tcW w:w="1384"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kg</w:t>
            </w:r>
          </w:p>
        </w:tc>
        <w:tc>
          <w:tcPr>
            <w:tcW w:w="4290" w:type="dxa"/>
            <w:tcBorders>
              <w:top w:val="nil"/>
              <w:left w:val="nil"/>
              <w:bottom w:val="single" w:sz="8" w:space="0" w:color="auto"/>
              <w:right w:val="single" w:sz="8" w:space="0" w:color="auto"/>
            </w:tcBorders>
            <w:shd w:val="clear" w:color="auto" w:fill="FFFFFF"/>
            <w:vAlign w:val="center"/>
            <w:hideMark/>
          </w:tcPr>
          <w:p w:rsidR="005834BE" w:rsidRPr="008640F6" w:rsidRDefault="005834BE" w:rsidP="005F7B94">
            <w:pPr>
              <w:pStyle w:val="NormalWeb"/>
              <w:spacing w:before="180" w:beforeAutospacing="0" w:after="180" w:afterAutospacing="0" w:line="15" w:lineRule="atLeast"/>
              <w:jc w:val="both"/>
              <w:rPr>
                <w:sz w:val="28"/>
                <w:szCs w:val="28"/>
              </w:rPr>
            </w:pPr>
            <w:r w:rsidRPr="008640F6">
              <w:rPr>
                <w:sz w:val="28"/>
                <w:szCs w:val="28"/>
              </w:rPr>
              <w:t>300</w:t>
            </w:r>
          </w:p>
        </w:tc>
      </w:tr>
    </w:tbl>
    <w:p w:rsidR="005834BE" w:rsidRPr="008640F6" w:rsidRDefault="005834BE" w:rsidP="005F7B94">
      <w:pPr>
        <w:pStyle w:val="NormalWeb"/>
        <w:spacing w:before="180" w:beforeAutospacing="0" w:after="180" w:afterAutospacing="0"/>
        <w:ind w:firstLine="720"/>
        <w:jc w:val="both"/>
        <w:rPr>
          <w:sz w:val="28"/>
          <w:szCs w:val="28"/>
        </w:rPr>
      </w:pPr>
      <w:r w:rsidRPr="008640F6">
        <w:rPr>
          <w:sz w:val="28"/>
          <w:szCs w:val="28"/>
        </w:rPr>
        <w:t xml:space="preserve">Tuy nhiên, mức thuế này chỉ được áp dụng cho đến hết ngày 31/12/2022. Sang đến ngày 01/01/2023, mức thuế bảo vệ môi trường sẽ được thực hiện </w:t>
      </w:r>
      <w:proofErr w:type="gramStart"/>
      <w:r w:rsidRPr="008640F6">
        <w:rPr>
          <w:sz w:val="28"/>
          <w:szCs w:val="28"/>
        </w:rPr>
        <w:t>theo</w:t>
      </w:r>
      <w:proofErr w:type="gramEnd"/>
      <w:r w:rsidRPr="008640F6">
        <w:rPr>
          <w:sz w:val="28"/>
          <w:szCs w:val="28"/>
        </w:rPr>
        <w:t xml:space="preserve"> biểu thuế tại Nghị quyết </w:t>
      </w:r>
      <w:hyperlink r:id="rId13" w:history="1">
        <w:r w:rsidRPr="008640F6">
          <w:rPr>
            <w:rStyle w:val="Hyperlink"/>
            <w:color w:val="auto"/>
            <w:sz w:val="28"/>
            <w:szCs w:val="28"/>
            <w:u w:val="none"/>
          </w:rPr>
          <w:t>579/2018/UBTVQH14</w:t>
        </w:r>
      </w:hyperlink>
      <w:r w:rsidRPr="008640F6">
        <w:rPr>
          <w:sz w:val="28"/>
          <w:szCs w:val="28"/>
        </w:rPr>
        <w:t>, cao gấp nhiều lần hiện nay.</w:t>
      </w:r>
    </w:p>
    <w:p w:rsidR="005834BE" w:rsidRPr="008640F6" w:rsidRDefault="005834BE" w:rsidP="009D4D6E">
      <w:pPr>
        <w:pStyle w:val="NormalWeb"/>
        <w:spacing w:before="180" w:beforeAutospacing="0" w:after="180" w:afterAutospacing="0"/>
        <w:ind w:firstLine="720"/>
        <w:jc w:val="both"/>
        <w:rPr>
          <w:sz w:val="28"/>
          <w:szCs w:val="28"/>
        </w:rPr>
      </w:pPr>
      <w:r w:rsidRPr="008640F6">
        <w:rPr>
          <w:sz w:val="28"/>
          <w:szCs w:val="28"/>
        </w:rPr>
        <w:t>Theo đó, nhiều khả năng giá xăng, dầu trong tương lai sẽ còn tăng mạnh hơn thời gian gần đây.</w:t>
      </w:r>
    </w:p>
    <w:p w:rsidR="00CB54BE" w:rsidRPr="008640F6" w:rsidRDefault="00CB54BE" w:rsidP="005F7B94">
      <w:pPr>
        <w:ind w:firstLine="2552"/>
        <w:jc w:val="both"/>
        <w:rPr>
          <w:rFonts w:cs="Times New Roman"/>
          <w:b/>
          <w:szCs w:val="28"/>
        </w:rPr>
      </w:pPr>
    </w:p>
    <w:p w:rsidR="00A31D38" w:rsidRPr="008640F6" w:rsidRDefault="001E1296" w:rsidP="007B48E5">
      <w:pPr>
        <w:ind w:firstLine="2552"/>
        <w:jc w:val="center"/>
        <w:rPr>
          <w:rFonts w:cs="Times New Roman"/>
          <w:b/>
          <w:szCs w:val="28"/>
        </w:rPr>
      </w:pPr>
      <w:r>
        <w:rPr>
          <w:rFonts w:cs="Times New Roman"/>
          <w:b/>
          <w:szCs w:val="28"/>
        </w:rPr>
        <w:t>UBND XÃ KỲ HẢI</w:t>
      </w:r>
      <w:bookmarkStart w:id="2" w:name="_GoBack"/>
      <w:bookmarkEnd w:id="2"/>
    </w:p>
    <w:sectPr w:rsidR="00A31D38" w:rsidRPr="008640F6" w:rsidSect="00193C44">
      <w:headerReference w:type="default" r:id="rId14"/>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B3" w:rsidRDefault="000C4EB3" w:rsidP="00485CDF">
      <w:pPr>
        <w:spacing w:line="240" w:lineRule="auto"/>
      </w:pPr>
      <w:r>
        <w:separator/>
      </w:r>
    </w:p>
  </w:endnote>
  <w:endnote w:type="continuationSeparator" w:id="0">
    <w:p w:rsidR="000C4EB3" w:rsidRDefault="000C4EB3"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B3" w:rsidRDefault="000C4EB3" w:rsidP="00485CDF">
      <w:pPr>
        <w:spacing w:line="240" w:lineRule="auto"/>
      </w:pPr>
      <w:r>
        <w:separator/>
      </w:r>
    </w:p>
  </w:footnote>
  <w:footnote w:type="continuationSeparator" w:id="0">
    <w:p w:rsidR="000C4EB3" w:rsidRDefault="000C4EB3"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1E1296">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D3"/>
    <w:rsid w:val="00001A26"/>
    <w:rsid w:val="000125CC"/>
    <w:rsid w:val="00030EF7"/>
    <w:rsid w:val="000363A0"/>
    <w:rsid w:val="00056903"/>
    <w:rsid w:val="00060223"/>
    <w:rsid w:val="00065D0E"/>
    <w:rsid w:val="00073AB7"/>
    <w:rsid w:val="00077C3D"/>
    <w:rsid w:val="000955A7"/>
    <w:rsid w:val="000C4EB3"/>
    <w:rsid w:val="000D722B"/>
    <w:rsid w:val="000E1AEE"/>
    <w:rsid w:val="000F4551"/>
    <w:rsid w:val="00141613"/>
    <w:rsid w:val="0015327F"/>
    <w:rsid w:val="001541E8"/>
    <w:rsid w:val="0018552C"/>
    <w:rsid w:val="001917BB"/>
    <w:rsid w:val="00193C44"/>
    <w:rsid w:val="001A1857"/>
    <w:rsid w:val="001A33A9"/>
    <w:rsid w:val="001E1296"/>
    <w:rsid w:val="001E28C0"/>
    <w:rsid w:val="002114FB"/>
    <w:rsid w:val="002271B5"/>
    <w:rsid w:val="0023232F"/>
    <w:rsid w:val="00236DF3"/>
    <w:rsid w:val="002513A3"/>
    <w:rsid w:val="00254ADF"/>
    <w:rsid w:val="00263D6A"/>
    <w:rsid w:val="00285678"/>
    <w:rsid w:val="002900F9"/>
    <w:rsid w:val="00290443"/>
    <w:rsid w:val="002A7766"/>
    <w:rsid w:val="002B186B"/>
    <w:rsid w:val="002C1FCB"/>
    <w:rsid w:val="002C200D"/>
    <w:rsid w:val="002C6D5B"/>
    <w:rsid w:val="002E4E24"/>
    <w:rsid w:val="002E619F"/>
    <w:rsid w:val="002E651B"/>
    <w:rsid w:val="0030214C"/>
    <w:rsid w:val="0031380D"/>
    <w:rsid w:val="00321E3E"/>
    <w:rsid w:val="00330CED"/>
    <w:rsid w:val="00337A80"/>
    <w:rsid w:val="0035652F"/>
    <w:rsid w:val="003610CA"/>
    <w:rsid w:val="003A2618"/>
    <w:rsid w:val="003C5EDC"/>
    <w:rsid w:val="003C7CA6"/>
    <w:rsid w:val="003D70A6"/>
    <w:rsid w:val="003D772D"/>
    <w:rsid w:val="004168C9"/>
    <w:rsid w:val="00434DF8"/>
    <w:rsid w:val="00485CDF"/>
    <w:rsid w:val="00493049"/>
    <w:rsid w:val="004A0B2C"/>
    <w:rsid w:val="004B2AF6"/>
    <w:rsid w:val="004C2BF8"/>
    <w:rsid w:val="004E3B66"/>
    <w:rsid w:val="004F2E67"/>
    <w:rsid w:val="004F724D"/>
    <w:rsid w:val="0051392E"/>
    <w:rsid w:val="0053016E"/>
    <w:rsid w:val="0054140D"/>
    <w:rsid w:val="0054307C"/>
    <w:rsid w:val="005557B6"/>
    <w:rsid w:val="00573D42"/>
    <w:rsid w:val="005834BE"/>
    <w:rsid w:val="00584D08"/>
    <w:rsid w:val="00590D53"/>
    <w:rsid w:val="005B142A"/>
    <w:rsid w:val="005B4707"/>
    <w:rsid w:val="005D4281"/>
    <w:rsid w:val="005E2614"/>
    <w:rsid w:val="005E6088"/>
    <w:rsid w:val="005F1ADE"/>
    <w:rsid w:val="005F41B0"/>
    <w:rsid w:val="005F5E3B"/>
    <w:rsid w:val="005F7B94"/>
    <w:rsid w:val="006044C0"/>
    <w:rsid w:val="00625F3A"/>
    <w:rsid w:val="0063555B"/>
    <w:rsid w:val="00640142"/>
    <w:rsid w:val="0064169D"/>
    <w:rsid w:val="00665FB4"/>
    <w:rsid w:val="0066692B"/>
    <w:rsid w:val="00667C9D"/>
    <w:rsid w:val="00671202"/>
    <w:rsid w:val="00671CFB"/>
    <w:rsid w:val="006B4657"/>
    <w:rsid w:val="006C0DE1"/>
    <w:rsid w:val="006C4A35"/>
    <w:rsid w:val="006C63B2"/>
    <w:rsid w:val="006E49B8"/>
    <w:rsid w:val="0070326E"/>
    <w:rsid w:val="00725FD7"/>
    <w:rsid w:val="00726468"/>
    <w:rsid w:val="0075106D"/>
    <w:rsid w:val="00755C05"/>
    <w:rsid w:val="00756962"/>
    <w:rsid w:val="00763240"/>
    <w:rsid w:val="00771806"/>
    <w:rsid w:val="00790A19"/>
    <w:rsid w:val="00793E86"/>
    <w:rsid w:val="00795485"/>
    <w:rsid w:val="007B2889"/>
    <w:rsid w:val="007B48E5"/>
    <w:rsid w:val="007B5F7A"/>
    <w:rsid w:val="007D7CD1"/>
    <w:rsid w:val="008157DE"/>
    <w:rsid w:val="00853B2D"/>
    <w:rsid w:val="00855E5B"/>
    <w:rsid w:val="008640F6"/>
    <w:rsid w:val="008E74B0"/>
    <w:rsid w:val="008F49BB"/>
    <w:rsid w:val="00940EF9"/>
    <w:rsid w:val="00942639"/>
    <w:rsid w:val="009428A3"/>
    <w:rsid w:val="0095014A"/>
    <w:rsid w:val="00964701"/>
    <w:rsid w:val="009809C4"/>
    <w:rsid w:val="009A1DA8"/>
    <w:rsid w:val="009C4180"/>
    <w:rsid w:val="009D4D6E"/>
    <w:rsid w:val="009F3EA3"/>
    <w:rsid w:val="00A11A29"/>
    <w:rsid w:val="00A21641"/>
    <w:rsid w:val="00A31D38"/>
    <w:rsid w:val="00A37621"/>
    <w:rsid w:val="00A51477"/>
    <w:rsid w:val="00A94EEA"/>
    <w:rsid w:val="00AA6243"/>
    <w:rsid w:val="00AD0024"/>
    <w:rsid w:val="00AD6353"/>
    <w:rsid w:val="00AD766C"/>
    <w:rsid w:val="00AE4B67"/>
    <w:rsid w:val="00AF07D0"/>
    <w:rsid w:val="00AF2F28"/>
    <w:rsid w:val="00B03336"/>
    <w:rsid w:val="00B06BDB"/>
    <w:rsid w:val="00B14099"/>
    <w:rsid w:val="00B459BD"/>
    <w:rsid w:val="00BB068D"/>
    <w:rsid w:val="00BB6BFB"/>
    <w:rsid w:val="00BD389F"/>
    <w:rsid w:val="00BD7569"/>
    <w:rsid w:val="00BE7AF9"/>
    <w:rsid w:val="00BF555D"/>
    <w:rsid w:val="00C1322D"/>
    <w:rsid w:val="00C25A03"/>
    <w:rsid w:val="00C27263"/>
    <w:rsid w:val="00C37892"/>
    <w:rsid w:val="00C65A8A"/>
    <w:rsid w:val="00C705E7"/>
    <w:rsid w:val="00C84CD3"/>
    <w:rsid w:val="00CA2D30"/>
    <w:rsid w:val="00CB54BE"/>
    <w:rsid w:val="00CC1B4B"/>
    <w:rsid w:val="00CE4FAB"/>
    <w:rsid w:val="00D07D3B"/>
    <w:rsid w:val="00D4698C"/>
    <w:rsid w:val="00D53C0F"/>
    <w:rsid w:val="00D66BA5"/>
    <w:rsid w:val="00D86BA0"/>
    <w:rsid w:val="00D93DB1"/>
    <w:rsid w:val="00D96238"/>
    <w:rsid w:val="00DA53E1"/>
    <w:rsid w:val="00DB7B9D"/>
    <w:rsid w:val="00DC7841"/>
    <w:rsid w:val="00DE486A"/>
    <w:rsid w:val="00DE706A"/>
    <w:rsid w:val="00E026D0"/>
    <w:rsid w:val="00E03B24"/>
    <w:rsid w:val="00E06875"/>
    <w:rsid w:val="00E21532"/>
    <w:rsid w:val="00E25835"/>
    <w:rsid w:val="00E405B1"/>
    <w:rsid w:val="00E4093A"/>
    <w:rsid w:val="00E41031"/>
    <w:rsid w:val="00E44270"/>
    <w:rsid w:val="00E535C5"/>
    <w:rsid w:val="00E864A3"/>
    <w:rsid w:val="00EB2337"/>
    <w:rsid w:val="00EC437A"/>
    <w:rsid w:val="00ED1262"/>
    <w:rsid w:val="00ED283E"/>
    <w:rsid w:val="00EE3AE5"/>
    <w:rsid w:val="00F06005"/>
    <w:rsid w:val="00F32C29"/>
    <w:rsid w:val="00F40D45"/>
    <w:rsid w:val="00F5356A"/>
    <w:rsid w:val="00F66496"/>
    <w:rsid w:val="00F81564"/>
    <w:rsid w:val="00FD2C70"/>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D45BC-C637-4CE6-8FF9-B0E8A4AE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i-pham-hanh-chinh/nghi-dinh-88-2022-nd-cp-233025-d1.html" TargetMode="External"/><Relationship Id="rId13" Type="http://schemas.openxmlformats.org/officeDocument/2006/relationships/hyperlink" Target="https://luatvietnam.vn/thue/nghi-quyet-579-2018-ubtvqh14-ve-bieu-thue-bao-ve-moi-truong-168048-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atvietnam.vn/thue/nghi-quyet-20-2022-ubtvqh15-225434-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u-phap/thong-tu-08-2022-tt-btp-234232-d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atvietnam.vn/giao-duc/thong-tu-15-2022-tt-bgddt-234500-d1.html" TargetMode="External"/><Relationship Id="rId4" Type="http://schemas.openxmlformats.org/officeDocument/2006/relationships/settings" Target="settings.xml"/><Relationship Id="rId9" Type="http://schemas.openxmlformats.org/officeDocument/2006/relationships/hyperlink" Target="https://luatvietnam.vn/giao-duc/nghi-dinh-79-2015-nd-cp-chinh-phu-98256-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6AE2-0B3B-4AF5-B7DD-DD1204CE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2022-11-30T09:20:00Z</dcterms:created>
  <dcterms:modified xsi:type="dcterms:W3CDTF">2022-11-30T09:51:00Z</dcterms:modified>
</cp:coreProperties>
</file>